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BD605">
      <w:pPr>
        <w:keepNext w:val="0"/>
        <w:keepLines w:val="0"/>
        <w:pageBreakBefore w:val="0"/>
        <w:widowControl w:val="0"/>
        <w:kinsoku/>
        <w:wordWrap/>
        <w:overflowPunct/>
        <w:topLinePunct w:val="0"/>
        <w:autoSpaceDE/>
        <w:autoSpaceDN/>
        <w:bidi w:val="0"/>
        <w:adjustRightInd/>
        <w:snapToGrid/>
        <w:spacing w:line="520" w:lineRule="exact"/>
        <w:ind w:left="0"/>
        <w:jc w:val="center"/>
        <w:textAlignment w:val="auto"/>
        <w:rPr>
          <w:rFonts w:hint="eastAsia" w:ascii="方正小标宋_GBK" w:hAnsi="方正小标宋_GBK" w:eastAsia="方正小标宋_GBK" w:cs="方正小标宋_GBK"/>
          <w:color w:val="auto"/>
          <w:spacing w:val="-20"/>
          <w:sz w:val="44"/>
          <w:szCs w:val="44"/>
          <w:lang w:val="en-US" w:eastAsia="zh-CN"/>
        </w:rPr>
      </w:pPr>
      <w:r>
        <w:rPr>
          <w:rFonts w:hint="eastAsia" w:ascii="方正小标宋_GBK" w:hAnsi="方正小标宋_GBK" w:eastAsia="方正小标宋_GBK" w:cs="方正小标宋_GBK"/>
          <w:color w:val="auto"/>
          <w:spacing w:val="-20"/>
          <w:sz w:val="44"/>
          <w:szCs w:val="44"/>
          <w:lang w:val="en-US" w:eastAsia="zh-CN"/>
        </w:rPr>
        <w:t>2025年河北省海洋公报生态环境监测项目采购需求调查公告</w:t>
      </w:r>
    </w:p>
    <w:p w14:paraId="3EF4210C">
      <w:pPr>
        <w:keepNext w:val="0"/>
        <w:keepLines w:val="0"/>
        <w:pageBreakBefore w:val="0"/>
        <w:widowControl w:val="0"/>
        <w:suppressAutoHyphens/>
        <w:kinsoku/>
        <w:wordWrap/>
        <w:overflowPunct/>
        <w:topLinePunct w:val="0"/>
        <w:autoSpaceDE/>
        <w:autoSpaceDN/>
        <w:bidi w:val="0"/>
        <w:adjustRightInd/>
        <w:snapToGrid/>
        <w:spacing w:line="520" w:lineRule="exact"/>
        <w:ind w:left="0" w:right="0"/>
        <w:textAlignment w:val="auto"/>
        <w:rPr>
          <w:rFonts w:hint="eastAsia" w:ascii="Times New Roman" w:hAnsi="Times New Roman" w:eastAsia="仿宋_GB2312" w:cs="Times New Roman"/>
          <w:color w:val="auto"/>
          <w:sz w:val="32"/>
          <w:szCs w:val="32"/>
          <w:lang w:eastAsia="zh-CN"/>
        </w:rPr>
      </w:pPr>
    </w:p>
    <w:p w14:paraId="2CA49784">
      <w:pPr>
        <w:keepNext w:val="0"/>
        <w:keepLines w:val="0"/>
        <w:pageBreakBefore w:val="0"/>
        <w:widowControl w:val="0"/>
        <w:numPr>
          <w:ilvl w:val="0"/>
          <w:numId w:val="0"/>
        </w:numPr>
        <w:suppressAutoHyphens/>
        <w:kinsoku/>
        <w:wordWrap/>
        <w:overflowPunct/>
        <w:topLinePunct w:val="0"/>
        <w:autoSpaceDE/>
        <w:autoSpaceDN/>
        <w:bidi w:val="0"/>
        <w:adjustRightInd/>
        <w:snapToGrid/>
        <w:spacing w:line="520" w:lineRule="exact"/>
        <w:ind w:right="0" w:rightChars="0"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河北省生态环境厅对“</w:t>
      </w:r>
      <w:r>
        <w:rPr>
          <w:rFonts w:hint="eastAsia" w:ascii="CESI仿宋-GB2312" w:hAnsi="CESI仿宋-GB2312" w:eastAsia="CESI仿宋-GB2312" w:cs="CESI仿宋-GB2312"/>
          <w:color w:val="auto"/>
          <w:sz w:val="32"/>
          <w:szCs w:val="32"/>
          <w:lang w:val="en-US" w:eastAsia="zh-CN"/>
        </w:rPr>
        <w:t>2025年河北省海洋公报生态环境监测项目</w:t>
      </w:r>
      <w:r>
        <w:rPr>
          <w:rFonts w:hint="eastAsia" w:ascii="CESI仿宋-GB2312" w:hAnsi="CESI仿宋-GB2312" w:eastAsia="CESI仿宋-GB2312" w:cs="CESI仿宋-GB2312"/>
          <w:color w:val="auto"/>
          <w:sz w:val="32"/>
          <w:szCs w:val="32"/>
          <w:lang w:eastAsia="zh-CN"/>
        </w:rPr>
        <w:t>”面向社会公开对采购需求进行调查，现就需求调查工作有关事项公告如下：</w:t>
      </w:r>
    </w:p>
    <w:p w14:paraId="06875CFA">
      <w:pPr>
        <w:keepNext w:val="0"/>
        <w:keepLines w:val="0"/>
        <w:pageBreakBefore w:val="0"/>
        <w:widowControl w:val="0"/>
        <w:suppressAutoHyphens/>
        <w:kinsoku/>
        <w:wordWrap/>
        <w:overflowPunct/>
        <w:topLinePunct w:val="0"/>
        <w:autoSpaceDE/>
        <w:autoSpaceDN/>
        <w:bidi w:val="0"/>
        <w:adjustRightInd/>
        <w:snapToGrid/>
        <w:spacing w:line="520" w:lineRule="exact"/>
        <w:ind w:left="0" w:right="0" w:firstLine="640" w:firstLineChars="200"/>
        <w:textAlignment w:val="auto"/>
        <w:rPr>
          <w:rFonts w:hint="eastAsia" w:ascii="CESI黑体-GB2312" w:hAnsi="CESI黑体-GB2312" w:eastAsia="CESI黑体-GB2312" w:cs="CESI黑体-GB2312"/>
          <w:color w:val="auto"/>
          <w:sz w:val="32"/>
          <w:szCs w:val="32"/>
          <w:lang w:val="en-US" w:eastAsia="zh-CN"/>
        </w:rPr>
      </w:pPr>
      <w:r>
        <w:rPr>
          <w:rFonts w:hint="eastAsia" w:ascii="CESI黑体-GB2312" w:hAnsi="CESI黑体-GB2312" w:eastAsia="CESI黑体-GB2312" w:cs="CESI黑体-GB2312"/>
          <w:color w:val="auto"/>
          <w:sz w:val="32"/>
          <w:szCs w:val="32"/>
          <w:lang w:val="en-US" w:eastAsia="zh-CN"/>
        </w:rPr>
        <w:t>一、</w:t>
      </w:r>
      <w:r>
        <w:rPr>
          <w:rFonts w:hint="eastAsia" w:ascii="CESI黑体-GB2312" w:hAnsi="CESI黑体-GB2312" w:eastAsia="CESI黑体-GB2312" w:cs="CESI黑体-GB2312"/>
          <w:color w:val="auto"/>
          <w:sz w:val="32"/>
          <w:szCs w:val="32"/>
          <w:lang w:eastAsia="zh-CN"/>
        </w:rPr>
        <w:t>采购</w:t>
      </w:r>
      <w:r>
        <w:rPr>
          <w:rFonts w:hint="eastAsia" w:ascii="CESI黑体-GB2312" w:hAnsi="CESI黑体-GB2312" w:eastAsia="CESI黑体-GB2312" w:cs="CESI黑体-GB2312"/>
          <w:color w:val="auto"/>
          <w:sz w:val="32"/>
          <w:szCs w:val="32"/>
          <w:lang w:val="en-US" w:eastAsia="zh-CN"/>
        </w:rPr>
        <w:t>项目名称</w:t>
      </w:r>
    </w:p>
    <w:p w14:paraId="2C2D3A8C">
      <w:pPr>
        <w:keepNext w:val="0"/>
        <w:keepLines w:val="0"/>
        <w:pageBreakBefore w:val="0"/>
        <w:widowControl w:val="0"/>
        <w:suppressAutoHyphens/>
        <w:kinsoku/>
        <w:wordWrap/>
        <w:overflowPunct/>
        <w:topLinePunct w:val="0"/>
        <w:autoSpaceDE/>
        <w:autoSpaceDN/>
        <w:bidi w:val="0"/>
        <w:adjustRightInd/>
        <w:snapToGrid/>
        <w:spacing w:line="520" w:lineRule="exact"/>
        <w:ind w:left="0" w:right="0" w:firstLine="640" w:firstLineChars="200"/>
        <w:textAlignment w:val="auto"/>
        <w:rPr>
          <w:rFonts w:hint="default"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2025年河北省海洋公报生态环境监测项目</w:t>
      </w:r>
    </w:p>
    <w:p w14:paraId="354A92E5">
      <w:pPr>
        <w:keepNext w:val="0"/>
        <w:keepLines w:val="0"/>
        <w:pageBreakBefore w:val="0"/>
        <w:widowControl w:val="0"/>
        <w:suppressAutoHyphens/>
        <w:kinsoku/>
        <w:wordWrap/>
        <w:overflowPunct/>
        <w:topLinePunct w:val="0"/>
        <w:autoSpaceDE/>
        <w:autoSpaceDN/>
        <w:bidi w:val="0"/>
        <w:adjustRightInd/>
        <w:snapToGrid/>
        <w:spacing w:line="520" w:lineRule="exact"/>
        <w:ind w:left="0" w:right="0" w:firstLine="640" w:firstLineChars="200"/>
        <w:textAlignment w:val="auto"/>
        <w:rPr>
          <w:rFonts w:hint="eastAsia" w:ascii="CESI黑体-GB2312" w:hAnsi="CESI黑体-GB2312" w:eastAsia="CESI黑体-GB2312" w:cs="CESI黑体-GB2312"/>
          <w:color w:val="auto"/>
          <w:sz w:val="32"/>
          <w:szCs w:val="32"/>
          <w:lang w:val="en-US" w:eastAsia="zh-CN"/>
        </w:rPr>
      </w:pPr>
      <w:r>
        <w:rPr>
          <w:rFonts w:hint="eastAsia" w:ascii="CESI黑体-GB2312" w:hAnsi="CESI黑体-GB2312" w:eastAsia="CESI黑体-GB2312" w:cs="CESI黑体-GB2312"/>
          <w:color w:val="auto"/>
          <w:sz w:val="32"/>
          <w:szCs w:val="32"/>
          <w:lang w:val="en-US" w:eastAsia="zh-CN"/>
        </w:rPr>
        <w:t>二、最高限价</w:t>
      </w:r>
    </w:p>
    <w:p w14:paraId="2947D47E">
      <w:pPr>
        <w:keepNext w:val="0"/>
        <w:keepLines w:val="0"/>
        <w:pageBreakBefore w:val="0"/>
        <w:widowControl w:val="0"/>
        <w:suppressAutoHyphens/>
        <w:kinsoku/>
        <w:wordWrap/>
        <w:overflowPunct/>
        <w:topLinePunct w:val="0"/>
        <w:autoSpaceDE/>
        <w:autoSpaceDN/>
        <w:bidi w:val="0"/>
        <w:adjustRightInd/>
        <w:snapToGrid/>
        <w:spacing w:line="520" w:lineRule="exact"/>
        <w:ind w:left="0" w:right="0" w:firstLine="640" w:firstLineChars="200"/>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最高限价：无。</w:t>
      </w:r>
    </w:p>
    <w:p w14:paraId="57E59895">
      <w:pPr>
        <w:keepNext w:val="0"/>
        <w:keepLines w:val="0"/>
        <w:pageBreakBefore w:val="0"/>
        <w:widowControl w:val="0"/>
        <w:suppressAutoHyphens/>
        <w:kinsoku/>
        <w:wordWrap/>
        <w:overflowPunct/>
        <w:topLinePunct w:val="0"/>
        <w:autoSpaceDE/>
        <w:autoSpaceDN/>
        <w:bidi w:val="0"/>
        <w:adjustRightInd/>
        <w:snapToGrid/>
        <w:spacing w:line="520" w:lineRule="exact"/>
        <w:ind w:left="0" w:right="0"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黑体-GB2312" w:hAnsi="CESI黑体-GB2312" w:eastAsia="CESI黑体-GB2312" w:cs="CESI黑体-GB2312"/>
          <w:color w:val="auto"/>
          <w:sz w:val="32"/>
          <w:szCs w:val="32"/>
          <w:lang w:val="en-US" w:eastAsia="zh-CN"/>
        </w:rPr>
        <w:t>三、项目采购需求描述</w:t>
      </w:r>
      <w:r>
        <w:rPr>
          <w:rFonts w:hint="eastAsia" w:ascii="CESI仿宋-GB2312" w:hAnsi="CESI仿宋-GB2312" w:eastAsia="CESI仿宋-GB2312" w:cs="CESI仿宋-GB2312"/>
          <w:color w:val="auto"/>
          <w:sz w:val="32"/>
          <w:szCs w:val="32"/>
          <w:lang w:val="en-US" w:eastAsia="zh-CN"/>
        </w:rPr>
        <w:t>：详见附件1。</w:t>
      </w:r>
    </w:p>
    <w:p w14:paraId="2A47A364">
      <w:pPr>
        <w:keepNext w:val="0"/>
        <w:keepLines w:val="0"/>
        <w:pageBreakBefore w:val="0"/>
        <w:widowControl w:val="0"/>
        <w:suppressAutoHyphens/>
        <w:kinsoku/>
        <w:wordWrap/>
        <w:overflowPunct/>
        <w:topLinePunct w:val="0"/>
        <w:autoSpaceDE/>
        <w:autoSpaceDN/>
        <w:bidi w:val="0"/>
        <w:adjustRightInd/>
        <w:snapToGrid/>
        <w:spacing w:line="520" w:lineRule="exact"/>
        <w:ind w:left="0" w:right="0"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黑体-GB2312" w:hAnsi="CESI黑体-GB2312" w:eastAsia="CESI黑体-GB2312" w:cs="CESI黑体-GB2312"/>
          <w:color w:val="auto"/>
          <w:sz w:val="32"/>
          <w:szCs w:val="32"/>
          <w:lang w:val="en-US" w:eastAsia="zh-CN"/>
        </w:rPr>
        <w:t>四、采购需求调查方式：</w:t>
      </w:r>
      <w:r>
        <w:rPr>
          <w:rFonts w:hint="eastAsia" w:ascii="CESI仿宋-GB2312" w:hAnsi="CESI仿宋-GB2312" w:eastAsia="CESI仿宋-GB2312" w:cs="CESI仿宋-GB2312"/>
          <w:color w:val="auto"/>
          <w:sz w:val="32"/>
          <w:szCs w:val="32"/>
          <w:lang w:eastAsia="zh-CN"/>
        </w:rPr>
        <w:t>问卷调查。</w:t>
      </w:r>
    </w:p>
    <w:p w14:paraId="0299AF17">
      <w:pPr>
        <w:keepNext w:val="0"/>
        <w:keepLines w:val="0"/>
        <w:pageBreakBefore w:val="0"/>
        <w:widowControl w:val="0"/>
        <w:suppressAutoHyphens/>
        <w:kinsoku/>
        <w:wordWrap/>
        <w:overflowPunct/>
        <w:topLinePunct w:val="0"/>
        <w:autoSpaceDE/>
        <w:autoSpaceDN/>
        <w:bidi w:val="0"/>
        <w:adjustRightInd/>
        <w:snapToGrid/>
        <w:spacing w:line="520" w:lineRule="exact"/>
        <w:ind w:left="0" w:right="0" w:firstLine="640" w:firstLineChars="200"/>
        <w:textAlignment w:val="auto"/>
        <w:rPr>
          <w:rFonts w:hint="eastAsia" w:ascii="CESI黑体-GB2312" w:hAnsi="CESI黑体-GB2312" w:eastAsia="CESI黑体-GB2312" w:cs="CESI黑体-GB2312"/>
          <w:color w:val="auto"/>
          <w:sz w:val="32"/>
          <w:szCs w:val="32"/>
          <w:lang w:val="en-US" w:eastAsia="zh-CN"/>
        </w:rPr>
      </w:pPr>
      <w:r>
        <w:rPr>
          <w:rFonts w:hint="eastAsia" w:ascii="CESI黑体-GB2312" w:hAnsi="CESI黑体-GB2312" w:eastAsia="CESI黑体-GB2312" w:cs="CESI黑体-GB2312"/>
          <w:color w:val="auto"/>
          <w:sz w:val="32"/>
          <w:szCs w:val="32"/>
          <w:lang w:val="en-US" w:eastAsia="zh-CN"/>
        </w:rPr>
        <w:t>五、提交方式、时间</w:t>
      </w:r>
    </w:p>
    <w:p w14:paraId="1D49319D">
      <w:pPr>
        <w:keepNext w:val="0"/>
        <w:keepLines w:val="0"/>
        <w:pageBreakBefore w:val="0"/>
        <w:widowControl w:val="0"/>
        <w:suppressAutoHyphens/>
        <w:kinsoku/>
        <w:wordWrap/>
        <w:overflowPunct/>
        <w:topLinePunct w:val="0"/>
        <w:autoSpaceDE/>
        <w:autoSpaceDN/>
        <w:bidi w:val="0"/>
        <w:adjustRightInd/>
        <w:snapToGrid/>
        <w:spacing w:line="520" w:lineRule="exact"/>
        <w:ind w:left="0" w:right="0"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1、提交截止时间：2024年</w:t>
      </w:r>
      <w:r>
        <w:rPr>
          <w:rFonts w:hint="eastAsia" w:ascii="CESI仿宋-GB2312" w:hAnsi="CESI仿宋-GB2312" w:eastAsia="CESI仿宋-GB2312" w:cs="CESI仿宋-GB2312"/>
          <w:color w:val="auto"/>
          <w:sz w:val="32"/>
          <w:szCs w:val="32"/>
          <w:lang w:val="en-US" w:eastAsia="zh-CN"/>
        </w:rPr>
        <w:t>8</w:t>
      </w:r>
      <w:r>
        <w:rPr>
          <w:rFonts w:hint="eastAsia" w:ascii="CESI仿宋-GB2312" w:hAnsi="CESI仿宋-GB2312" w:eastAsia="CESI仿宋-GB2312" w:cs="CESI仿宋-GB2312"/>
          <w:color w:val="auto"/>
          <w:sz w:val="32"/>
          <w:szCs w:val="32"/>
          <w:lang w:eastAsia="zh-CN"/>
        </w:rPr>
        <w:t>月</w:t>
      </w:r>
      <w:r>
        <w:rPr>
          <w:rFonts w:hint="eastAsia" w:ascii="CESI仿宋-GB2312" w:hAnsi="CESI仿宋-GB2312" w:eastAsia="CESI仿宋-GB2312" w:cs="CESI仿宋-GB2312"/>
          <w:color w:val="auto"/>
          <w:sz w:val="32"/>
          <w:szCs w:val="32"/>
          <w:lang w:val="en-US" w:eastAsia="zh-CN"/>
        </w:rPr>
        <w:t>27</w:t>
      </w:r>
      <w:r>
        <w:rPr>
          <w:rFonts w:hint="eastAsia" w:ascii="CESI仿宋-GB2312" w:hAnsi="CESI仿宋-GB2312" w:eastAsia="CESI仿宋-GB2312" w:cs="CESI仿宋-GB2312"/>
          <w:color w:val="auto"/>
          <w:sz w:val="32"/>
          <w:szCs w:val="32"/>
          <w:lang w:eastAsia="zh-CN"/>
        </w:rPr>
        <w:t>日17:30（北京时间）。</w:t>
      </w:r>
    </w:p>
    <w:p w14:paraId="3B0C2A4D">
      <w:pPr>
        <w:keepNext w:val="0"/>
        <w:keepLines w:val="0"/>
        <w:pageBreakBefore w:val="0"/>
        <w:widowControl w:val="0"/>
        <w:suppressAutoHyphens/>
        <w:kinsoku/>
        <w:wordWrap/>
        <w:overflowPunct/>
        <w:topLinePunct w:val="0"/>
        <w:autoSpaceDE/>
        <w:autoSpaceDN/>
        <w:bidi w:val="0"/>
        <w:adjustRightInd/>
        <w:snapToGrid/>
        <w:spacing w:line="520" w:lineRule="exact"/>
        <w:ind w:left="0" w:right="0"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2、提交方式：请有意愿参与的供应商在采购需求调查提交截止时间前，</w:t>
      </w:r>
      <w:r>
        <w:rPr>
          <w:rFonts w:hint="eastAsia" w:ascii="CESI仿宋-GB2312" w:hAnsi="CESI仿宋-GB2312" w:eastAsia="CESI仿宋-GB2312" w:cs="CESI仿宋-GB2312"/>
          <w:color w:val="auto"/>
          <w:sz w:val="32"/>
          <w:szCs w:val="32"/>
          <w:lang w:val="en-US" w:eastAsia="zh-CN"/>
        </w:rPr>
        <w:t>将</w:t>
      </w:r>
      <w:r>
        <w:rPr>
          <w:rFonts w:hint="eastAsia" w:ascii="CESI仿宋-GB2312" w:hAnsi="CESI仿宋-GB2312" w:eastAsia="CESI仿宋-GB2312" w:cs="CESI仿宋-GB2312"/>
          <w:color w:val="auto"/>
          <w:sz w:val="32"/>
          <w:szCs w:val="32"/>
          <w:lang w:eastAsia="zh-CN"/>
        </w:rPr>
        <w:t>调查问卷（盖章扫描）及企业营业执照扫描件，发送至邮箱：</w:t>
      </w:r>
      <w:r>
        <w:rPr>
          <w:rFonts w:hint="eastAsia" w:ascii="CESI仿宋-GB2312" w:hAnsi="CESI仿宋-GB2312" w:eastAsia="CESI仿宋-GB2312" w:cs="CESI仿宋-GB2312"/>
          <w:color w:val="auto"/>
          <w:sz w:val="32"/>
          <w:szCs w:val="32"/>
          <w:lang w:val="en-US" w:eastAsia="zh-CN"/>
        </w:rPr>
        <w:t>hbthyc</w:t>
      </w:r>
      <w:r>
        <w:rPr>
          <w:rFonts w:hint="eastAsia" w:ascii="CESI仿宋-GB2312" w:hAnsi="CESI仿宋-GB2312" w:eastAsia="CESI仿宋-GB2312" w:cs="CESI仿宋-GB2312"/>
          <w:color w:val="auto"/>
          <w:sz w:val="32"/>
          <w:szCs w:val="32"/>
          <w:lang w:eastAsia="zh-CN"/>
        </w:rPr>
        <w:t>@163.com。</w:t>
      </w:r>
    </w:p>
    <w:p w14:paraId="59750FB7">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本次调查仅供项目采购人开展采购需求调查用，不具有任何限制及承诺效力，对于供应商依法取得本项目参与资格无任何影响，对供应商所提供的信息不作书面回复，诚挚欢迎广大潜在供应商单位积极参与支持我们的工作。</w:t>
      </w:r>
    </w:p>
    <w:p w14:paraId="393F15F5">
      <w:pPr>
        <w:pageBreakBefore w:val="0"/>
        <w:widowControl w:val="0"/>
        <w:kinsoku/>
        <w:wordWrap/>
        <w:overflowPunct/>
        <w:topLinePunct w:val="0"/>
        <w:autoSpaceDE/>
        <w:autoSpaceDN/>
        <w:bidi w:val="0"/>
        <w:adjustRightInd/>
        <w:snapToGrid/>
        <w:spacing w:line="520" w:lineRule="exact"/>
        <w:textAlignment w:val="auto"/>
        <w:rPr>
          <w:rFonts w:hint="eastAsia" w:ascii="CESI仿宋-GB2312" w:hAnsi="CESI仿宋-GB2312" w:eastAsia="CESI仿宋-GB2312" w:cs="CESI仿宋-GB2312"/>
          <w:lang w:val="en-US" w:eastAsia="zh-CN"/>
        </w:rPr>
      </w:pPr>
    </w:p>
    <w:p w14:paraId="556C3E03">
      <w:pPr>
        <w:keepNext w:val="0"/>
        <w:keepLines w:val="0"/>
        <w:pageBreakBefore w:val="0"/>
        <w:widowControl w:val="0"/>
        <w:suppressAutoHyphens/>
        <w:kinsoku/>
        <w:wordWrap/>
        <w:overflowPunct/>
        <w:topLinePunct w:val="0"/>
        <w:autoSpaceDE/>
        <w:autoSpaceDN/>
        <w:bidi w:val="0"/>
        <w:adjustRightInd/>
        <w:snapToGrid/>
        <w:spacing w:line="520" w:lineRule="exact"/>
        <w:ind w:left="0" w:right="0" w:firstLine="5440" w:firstLineChars="17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河北省生态环境厅</w:t>
      </w:r>
    </w:p>
    <w:p w14:paraId="392C34F2">
      <w:pPr>
        <w:keepNext w:val="0"/>
        <w:keepLines w:val="0"/>
        <w:pageBreakBefore w:val="0"/>
        <w:widowControl w:val="0"/>
        <w:suppressAutoHyphens/>
        <w:kinsoku/>
        <w:wordWrap/>
        <w:overflowPunct/>
        <w:topLinePunct w:val="0"/>
        <w:autoSpaceDE/>
        <w:autoSpaceDN/>
        <w:bidi w:val="0"/>
        <w:adjustRightInd/>
        <w:snapToGrid/>
        <w:spacing w:line="520" w:lineRule="exact"/>
        <w:ind w:right="0" w:firstLine="5440" w:firstLineChars="1700"/>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2024年8月23日</w:t>
      </w:r>
    </w:p>
    <w:p w14:paraId="03D3820A">
      <w:pPr>
        <w:ind w:left="0" w:leftChars="0" w:firstLine="0" w:firstLineChars="0"/>
        <w:jc w:val="both"/>
        <w:rPr>
          <w:rFonts w:hint="eastAsia" w:ascii="CESI黑体-GB2312" w:hAnsi="CESI黑体-GB2312" w:eastAsia="CESI黑体-GB2312" w:cs="CESI黑体-GB2312"/>
          <w:sz w:val="32"/>
          <w:szCs w:val="28"/>
          <w:lang w:val="en-US" w:eastAsia="zh-CN"/>
        </w:rPr>
      </w:pPr>
      <w:r>
        <w:rPr>
          <w:rFonts w:hint="eastAsia" w:ascii="CESI黑体-GB2312" w:hAnsi="CESI黑体-GB2312" w:eastAsia="CESI黑体-GB2312" w:cs="CESI黑体-GB2312"/>
          <w:sz w:val="32"/>
          <w:szCs w:val="28"/>
          <w:lang w:val="en-US" w:eastAsia="zh-CN"/>
        </w:rPr>
        <w:br w:type="page"/>
      </w:r>
      <w:r>
        <w:rPr>
          <w:rFonts w:hint="eastAsia" w:ascii="CESI黑体-GB2312" w:hAnsi="CESI黑体-GB2312" w:eastAsia="CESI黑体-GB2312" w:cs="CESI黑体-GB2312"/>
          <w:sz w:val="32"/>
          <w:szCs w:val="28"/>
          <w:lang w:val="en-US" w:eastAsia="zh-CN"/>
        </w:rPr>
        <w:t>附件1</w:t>
      </w:r>
    </w:p>
    <w:p w14:paraId="13CBB9A3">
      <w:pPr>
        <w:keepNext w:val="0"/>
        <w:keepLines w:val="0"/>
        <w:pageBreakBefore w:val="0"/>
        <w:widowControl w:val="0"/>
        <w:kinsoku/>
        <w:wordWrap/>
        <w:overflowPunct/>
        <w:topLinePunct w:val="0"/>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 xml:space="preserve"> 采购需求</w:t>
      </w:r>
    </w:p>
    <w:p w14:paraId="003058EF">
      <w:pPr>
        <w:pStyle w:val="2"/>
        <w:rPr>
          <w:rFonts w:hint="eastAsia"/>
          <w:lang w:val="en-US" w:eastAsia="zh-CN"/>
        </w:rPr>
      </w:pPr>
    </w:p>
    <w:p w14:paraId="1011411A">
      <w:pPr>
        <w:pStyle w:val="4"/>
        <w:keepNext w:val="0"/>
        <w:keepLines w:val="0"/>
        <w:pageBreakBefore w:val="0"/>
        <w:widowControl w:val="0"/>
        <w:numPr>
          <w:ilvl w:val="0"/>
          <w:numId w:val="0"/>
        </w:numPr>
        <w:kinsoku/>
        <w:wordWrap/>
        <w:overflowPunct/>
        <w:topLinePunct w:val="0"/>
        <w:bidi w:val="0"/>
        <w:adjustRightInd/>
        <w:snapToGrid/>
        <w:spacing w:line="50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一、项目名称</w:t>
      </w:r>
    </w:p>
    <w:p w14:paraId="13997038">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CESI仿宋-GB2312" w:hAnsi="CESI仿宋-GB2312" w:eastAsia="CESI仿宋-GB2312" w:cs="CESI仿宋-GB2312"/>
          <w:color w:val="auto"/>
          <w:sz w:val="32"/>
          <w:szCs w:val="32"/>
          <w:lang w:val="en-US" w:eastAsia="zh-CN"/>
        </w:rPr>
        <w:t>2025年河北省海洋公报生态环境监测项目</w:t>
      </w:r>
    </w:p>
    <w:p w14:paraId="7ED45162">
      <w:pPr>
        <w:pStyle w:val="4"/>
        <w:keepNext w:val="0"/>
        <w:keepLines w:val="0"/>
        <w:pageBreakBefore w:val="0"/>
        <w:widowControl w:val="0"/>
        <w:numPr>
          <w:ilvl w:val="0"/>
          <w:numId w:val="0"/>
        </w:numPr>
        <w:kinsoku/>
        <w:wordWrap/>
        <w:overflowPunct/>
        <w:topLinePunct w:val="0"/>
        <w:bidi w:val="0"/>
        <w:adjustRightInd/>
        <w:snapToGrid/>
        <w:spacing w:line="50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二、实施期限</w:t>
      </w:r>
    </w:p>
    <w:p w14:paraId="66D79DDA">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2025年1月-12月</w:t>
      </w:r>
    </w:p>
    <w:p w14:paraId="0408617A">
      <w:pPr>
        <w:pStyle w:val="4"/>
        <w:keepNext w:val="0"/>
        <w:keepLines w:val="0"/>
        <w:pageBreakBefore w:val="0"/>
        <w:widowControl w:val="0"/>
        <w:numPr>
          <w:ilvl w:val="0"/>
          <w:numId w:val="0"/>
        </w:numPr>
        <w:kinsoku/>
        <w:wordWrap/>
        <w:overflowPunct/>
        <w:topLinePunct w:val="0"/>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三、技术要求（包含但不限于）：</w:t>
      </w:r>
    </w:p>
    <w:p w14:paraId="312667F9">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按照河北省海洋生态环境监测工作的要求，做好包括海洋生态状况监测、海洋环境监管监测、公益服务项目和海洋生态环境风险监测等各项海洋生态环境监测评价工作，编制《2025年河北省海洋生态环境状况公报》。主要工作内容要求如下：</w:t>
      </w:r>
    </w:p>
    <w:p w14:paraId="4B97CD0D">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（1）海洋生态状况监测</w:t>
      </w:r>
    </w:p>
    <w:p w14:paraId="47DE0AC8">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主要包括海洋生物多样性监测、河口生态系统监测、海洋自然保护区监测、滩涂湿地生态系统监测和海草床生态系统监测，分析评价河北省近岸海域生态环境质量状况。</w:t>
      </w:r>
    </w:p>
    <w:p w14:paraId="5FB6DA94">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①海洋生物多样性监测</w:t>
      </w:r>
    </w:p>
    <w:p w14:paraId="2D701CAB">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通过开展河北省生物多样性监测，以掌握河北省海洋生物种类组成、分布、数量及变化情况。监测调查项目包括浮游植物、浮游动物和底栖生物，（此部分为收集数据）。</w:t>
      </w:r>
    </w:p>
    <w:p w14:paraId="67B4935D">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②河口生态系统监测</w:t>
      </w:r>
    </w:p>
    <w:p w14:paraId="0C490172">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通过开展戴河口、涧河口、南排河口近岸典型生态系统监测，掌握本区生态和压力状况及其变化趋势。</w:t>
      </w:r>
    </w:p>
    <w:p w14:paraId="69002D60">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共设置15个站位，在戴河口、涧河口、南排河口分别设置5个站位，每年进行一次监测，在夏季进行。评价分为水质、主要污染物、沉积物、重金属、浮游植物（属种数量、优势种、细胞密度、多样性指数）、浮游动物（种类数量、优势种、生物密度、多样性指数）、底栖生物（种类数量、优势种、栖息密度、多样性指数）、鱼卵仔鱼。</w:t>
      </w:r>
    </w:p>
    <w:p w14:paraId="31DFB8F2">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③海洋自然保护区监测</w:t>
      </w:r>
    </w:p>
    <w:p w14:paraId="45207F79">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开展昌黎黄金海岸国家级海洋自然保护区监测，针对保护区主要保护对象和生态环境特点，以现场调查为主，结合相关资料搜集整合，掌握保护区主要保护对象、海洋环境、海洋生物多样性的现状及变化情况，以及存在的潜在风险。</w:t>
      </w:r>
    </w:p>
    <w:p w14:paraId="75ED4B30">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评价分为海洋自然保护区总体定性评价、主要污染物、沉积物、国家保护动物（栖息密度、变化范围、平均生物量）。</w:t>
      </w:r>
    </w:p>
    <w:p w14:paraId="7C70545A">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共设置8个监测站位，海水：水温、透明度、溶解氧、化学需氧量、盐度、pH、亚硝酸盐、硝酸盐、氨氮、活性磷酸盐、油类、叶绿素a、重金属（铜、锌、铬、汞、铅、砷、镉）；沉积物：粒度、硫化物、有机碳、石油类、重金属（铜、锌、铬、汞、铅、砷、镉）；生物：浮游植物、浮游动物和底栖生物（文昌鱼）的种类组成与数量、生物量、密度和优势种。在8-9月份进行1次监测。</w:t>
      </w:r>
    </w:p>
    <w:p w14:paraId="4E4D3A53">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④滩涂湿地生态系统监测</w:t>
      </w:r>
    </w:p>
    <w:p w14:paraId="582D7E0A">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通过开展北戴河沿海湿地、七里海潟湖湿地、滦河河口湿地、南大港湿地生态系统监测，掌握河北省滩涂湿地生态系统环境状况及其变化趋势，并为评估河北省滩涂湿地生态系统提供基础数据。在鸽子窝滩涂湿地、七里海湿地、滦河口湿地、南大港湿地分别布设4个站位，监测指标为水环境、沉积环境、生物残毒、栖息地、生物：浮游植物、浮游动物、底栖生物。在8-9月份进行1次监测。</w:t>
      </w:r>
    </w:p>
    <w:p w14:paraId="4E106A50">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⑤海草床生态系统监测</w:t>
      </w:r>
    </w:p>
    <w:p w14:paraId="0248F4A8">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为了掌握河北省海域海草床生态系统状况，对曹妃甸龙岛海域海草床开展监测，为评估海草床生态系统，保护海草床生态环境提供基础数据和科学依据。监测主要包括水环境、沉积物环境、生物生态等。在8-9月份进行1次监测。</w:t>
      </w:r>
    </w:p>
    <w:p w14:paraId="7F345CA1">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（2）海洋环境监管监测</w:t>
      </w:r>
    </w:p>
    <w:p w14:paraId="2732804D">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①陆源入海排污口及邻近海域</w:t>
      </w:r>
    </w:p>
    <w:p w14:paraId="7DD95693">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以直排海污染源和日排水量大于100m3入海排污口为重点，评价分为超标率，各排污口年污水排放量，各排污口各类主要污染物年排放总量（含重金属）。监测秦皇岛市、唐山市、沧州市入海排污口，每季度监测1次，含重金属（此部分为收集数据）。</w:t>
      </w:r>
    </w:p>
    <w:p w14:paraId="53D5E0B4">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②微塑料监测</w:t>
      </w:r>
    </w:p>
    <w:p w14:paraId="7996D8A0">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为了掌握河北省沿岸海域海面微塑料的数量、类型、尺寸等参数，解析该海域微塑料污染特征，对秦皇岛、唐山、沧州海域开展海面漂浮微塑料监测，为管理部门制定针对性治理措施，保护海洋生态环境提供基础数据和科学依据。布设3条监测断面，监测频率为全年一次。监测内容为：海面漂浮微塑料的数量、成分、粒径和形状。</w:t>
      </w:r>
    </w:p>
    <w:p w14:paraId="5FF50DED">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③沿海热点开发区监测</w:t>
      </w:r>
    </w:p>
    <w:p w14:paraId="6083B006">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按照《近岸海域环境监测点位布设技术规范HJ730-2014》中港口和滨海工业园区规定原则，共设置唐山曹妃甸工业区、唐山港工业区、沧州渤海新区、山海关开发区东区四个监测区域，在曹妃甸工业区布设12个水文气象监测站位、12个水质监测站位、12个沉积物监测站位、6个生物监测站位；在唐山港工业区布设6个水文气象监测站位、6个水质监测站位、6个沉积物监测站位和3和海洋生物监测站位；在沧州渤海新区布设6个水文气象监测站位、6个水质监测站位、6个沉积物监测站位和3和海洋生物监测站位；在山海关开发区东区海域布设4个水文气象监测站位、4个水质监测站位、4个沉积物监测站位和2和海洋生物监测站位。评价分为水质、沉积物、生物等。</w:t>
      </w:r>
    </w:p>
    <w:p w14:paraId="7164B7D7">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监测调查项目：①水文气象（水温）；②海水（悬浮物、叶绿素a、盐度、活性磷酸盐、硝酸盐-氮、亚硝酸盐-氮、氨氮、溶解氧、化学需氧量、石油类和重金属；③沉积物（粒度、石油类、有机碳、硫化物、重金属）；④生物（浮游植物、浮游动物和底栖生物的种类组成和数量（生物量）分布及其优势种组成和数量分布）。在8-9月份进行1次监测。</w:t>
      </w:r>
    </w:p>
    <w:p w14:paraId="09661A68">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④海洋倾倒区监测</w:t>
      </w:r>
    </w:p>
    <w:p w14:paraId="386500A8">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对我省的海洋倾倒区开展监测，监测倾倒区的数量为唐山港京唐港区维护性疏浚物临时性海洋倾倒区、黄骅港港区疏浚物临时性海洋倾倒区和乐亭东部2#临时性海洋倾倒区3个，倾倒区分别布设水质、沉积物、海洋生物综合采样站位，倾倒区站位布设按《海洋倾倒区监测技术规程》、《海洋倾倒区选划技术导则》（HJ/T 122-2009）要求布设，每个倾倒区布设3条断面，每条断面3个站点。两个倾倒区共计27个站位。布设站位应尽可能与倾倒区选划或历年监测站位保持一致，并能反应倾倒活动的海洋环境影响范围。</w:t>
      </w:r>
    </w:p>
    <w:p w14:paraId="3C508B13">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其中水文气象调查项目包括：水温、海水透明度；海水监测调查项目包括：悬浮物、叶绿素a、盐度、活性磷酸盐、硝酸盐-氮、亚硝酸盐-氮、氨氮、溶解氧、化学需氧量、石油类和重金属；沉积物监测调查项目包括：粒度、石油类、有机碳、硫化物、重金属；海洋生物监测调查项目包括：浮游植物、浮游动物和底栖生物。在8-9月份进行1次监测。</w:t>
      </w:r>
    </w:p>
    <w:p w14:paraId="4254B07D">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⑤海洋油气区监测</w:t>
      </w:r>
    </w:p>
    <w:p w14:paraId="13913712">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设置4个海洋油气区监测点，沧州、唐山两市各布设2个进行监测，监测调查项目：海水中石油类、化学需氧量、汞和镉，沉积物中有机碳、石油类、汞和镉。在8-9月份进行1次监测。</w:t>
      </w:r>
    </w:p>
    <w:p w14:paraId="657D209E">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（3）公益服务监测</w:t>
      </w:r>
    </w:p>
    <w:p w14:paraId="4DA41536">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在我省海域开展公益服务监测，包括滨海旅游度假区监测和海水浴场监测等专项调查，为保障人民身体健康和生命安全提供服务。</w:t>
      </w:r>
    </w:p>
    <w:p w14:paraId="28B648AD">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①海水浴场</w:t>
      </w:r>
    </w:p>
    <w:p w14:paraId="72D9C8DF">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为实时掌握旅游旺季海水浴场的海水环境状况，评价海水浴场开放期间的游泳适宜度，并及时向公众发布，以此服务沿海地区海洋经济建设和群众生活。开展具有代表性海水浴场水质监测。共设置不少于5个监测站位，监测时段为7月1日-9月1日，监测频率为每周1次，共计9次；监测调查项目为水温、pH、溶解氧、粪大肠菌群、漂浮物、（色、臭和味）、危险生物（海蜇等）。</w:t>
      </w:r>
    </w:p>
    <w:p w14:paraId="0B7ADF30">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②滨海旅游度假区</w:t>
      </w:r>
    </w:p>
    <w:p w14:paraId="04456BC0">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开展旅游旺季滨海旅游度假区监测，掌握金梦海湾旅游度假区环境状况及变化趋势，评价环境状况对休闲娱乐项目的开展的影响，维持旅游度假区的良好生态环境状况，保障滨海旅游度假区资源的可持续利用。共设置不少于5个监测站位，监测时段为7月1日-9月1日。</w:t>
      </w:r>
    </w:p>
    <w:p w14:paraId="397AED18">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监测调查项目：危险生物（海蜇等）、浮游植物、赤潮、透明度、（色、臭、味）、漂浮物质，粪大肠杆菌、溶解氧，化学需氧量、石油类等，每周1次，若监测到油类超过国家二类海水水质标准，则每天1次加密监测，直至海水油类恢复至正常。</w:t>
      </w:r>
    </w:p>
    <w:p w14:paraId="542CFE5A">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（4）海洋渔业水域环境状况监测</w:t>
      </w:r>
    </w:p>
    <w:p w14:paraId="6CB25F65">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① 海水增养殖区</w:t>
      </w:r>
    </w:p>
    <w:p w14:paraId="5E907723">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开展海水增养殖区环境监测，掌握海水增养殖区环境现状和变化趋势，关注由于海水增养殖活动带来的潜在环境风险。对河北省昌黎新开口养殖区、黄骅李家堡养殖区和乐亭滦河口养殖区开展监测工作。共设置不少于12个海水监测站位，6个沉积物监测站位，6个生物监测站位和6个养殖生物质量监测站位。海水在5、8、10月各1次；沉积物8 月监测1次；底栖生物5、8月各1次；生物质量在生物成熟期监测1次。评价分为养殖方式、达到功能区要求的二类以上水质标准的站次比例、主要超标要素及超标情况、沉积物、重金属等。</w:t>
      </w:r>
    </w:p>
    <w:p w14:paraId="3915CED9">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主要监测调查要素包括：1）海水养殖基本状况；2）海水水质要素：水温、悬浮物、叶绿素a、pH、盐度、活性磷酸盐、硝酸盐-氮、亚硝酸盐-氮、氨氮、溶解氧、化学需氧量、石油类、重金属；3）沉积物监测调查项目包括：石油类、有机碳、硫化物、重金属；4）底栖生物；5）养殖生物体质量监测调查项目包括：有机污染物、重金属（总汞、铜、铅、锌、镉、砷）、石油烃。</w:t>
      </w:r>
    </w:p>
    <w:p w14:paraId="7954E5F2">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②渔业资源“三场一通道”区域</w:t>
      </w:r>
    </w:p>
    <w:p w14:paraId="44BFA7B2">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开展我省渔业资源“三场一通道”区域环境状况监测，掌握渔业资源“三场一通道”区海洋环境特征和变化趋势。开展我省“三场一通道”区域环境状况监测，共布设6个水质和6个沉积物监测站位。监测调查项目包括1）海水水质要素：水温、悬浮物、叶绿素a、pH、盐度、活性磷酸盐、硝酸盐-氮、亚硝酸盐-氮、氨氮、溶解氧、化学需氧量、石油类、重金属；2）沉积物监测调查项目包括：石油类、有机碳、硫化物、重金属。海水在5、9月各1次；沉积物在9月监测1次。</w:t>
      </w:r>
    </w:p>
    <w:p w14:paraId="7E1D534A">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③水产种质资源保护区</w:t>
      </w:r>
    </w:p>
    <w:p w14:paraId="304DE230">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开展我省水产种质资源保护区监测，掌握水产种质资源保护区环境现状和变化趋势。对北戴河国家级水产种质资源保护区开展监测，共布设6个水质和6个沉积物监测站位。监测调查项目：1）海水水质要素：水温、悬浮物、叶绿素a、pH、盐度、活性磷酸盐、硝酸盐-氮、亚硝酸盐-氮、氨氮、溶解氧、化学需氧量、石油类、重金属；2）沉积物监测调查项目包括：石油类、有机碳、硫化物、重金属。海水在5、9月各1次；沉积物在9月监测1次。</w:t>
      </w:r>
    </w:p>
    <w:p w14:paraId="4BAA311D">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（5）海洋赤潮、绿潮监测</w:t>
      </w:r>
    </w:p>
    <w:p w14:paraId="6845460A">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开展海洋赤潮、绿潮监测，掌握重点海域的主要海洋生态环境风险，为开展生态环境风险监督管理和应急管理提供技术支撑。</w:t>
      </w:r>
    </w:p>
    <w:p w14:paraId="76AF73FE">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河北省管辖海区内发现赤潮（绿潮）时，开展现场应急跟踪监测，填报赤潮（绿潮）应急（跟踪）监测数据报表，获取赤潮（绿潮）发生地点、范围、赤潮（绿潮）生物种类及密度（生物量），直至赤潮（绿潮）消失。</w:t>
      </w:r>
    </w:p>
    <w:p w14:paraId="6634E64E">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评价分为赤潮次数（含同比）、区域、分布形状（长、宽）、面积、初始结束日期、优势种。</w:t>
      </w:r>
    </w:p>
    <w:p w14:paraId="7975DFB3">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①赤潮监控区</w:t>
      </w:r>
    </w:p>
    <w:p w14:paraId="564ED881">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赤潮监控区常规监测6~8月，每半月1次，全年共监测6次，在秦皇岛洋河口近岸海域布设4个监测站位；赤潮发生至消失全过程的跟踪监测，计划1~2天监测1次；赤潮监控区常规观测项目：色、味、臭及漂浮物。水环境要素：pH值、盐度、溶解氧、叶绿素-a。赤潮生物：赤潮生物细胞总数；优势种类与细胞数量。</w:t>
      </w:r>
    </w:p>
    <w:p w14:paraId="05C23B69">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②绿潮监控区</w:t>
      </w:r>
    </w:p>
    <w:p w14:paraId="0B8EEDEC">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绿潮监控区常规监测6~8月，每半月1次，全年共监测6次，在秦皇岛金梦海湾近岸海域布设4个监测站位；水环境要素：pH值、盐度、溶解氧、叶绿素-a。绿潮藻：优势种种类与生物量。</w:t>
      </w:r>
    </w:p>
    <w:p w14:paraId="1B83A4CC">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（6）海洋溢油</w:t>
      </w:r>
    </w:p>
    <w:p w14:paraId="5F4442A1">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利用无人机和卫星遥感等手段，对河北省近岸海域溢油进行监视监测。与海事部门就溢油历史情况和2025年溢油事故发生情况进行调研。调研内容包括溢油和油污上岸次数、位置、油量、面积等。</w:t>
      </w:r>
    </w:p>
    <w:p w14:paraId="2AFF0733">
      <w:pPr>
        <w:ind w:left="0" w:leftChars="0" w:firstLine="0" w:firstLineChars="0"/>
        <w:jc w:val="both"/>
        <w:rPr>
          <w:rFonts w:hint="eastAsia" w:ascii="仿宋_GB2312" w:hAnsi="仿宋_GB2312" w:eastAsia="仿宋_GB2312" w:cs="仿宋_GB2312"/>
          <w:sz w:val="32"/>
          <w:szCs w:val="32"/>
        </w:rPr>
      </w:pPr>
    </w:p>
    <w:p w14:paraId="64974419">
      <w:pPr>
        <w:ind w:left="0" w:leftChars="0" w:firstLine="0" w:firstLineChars="0"/>
        <w:jc w:val="both"/>
        <w:rPr>
          <w:rFonts w:hint="eastAsia" w:ascii="仿宋_GB2312" w:hAnsi="仿宋_GB2312" w:eastAsia="仿宋_GB2312" w:cs="仿宋_GB2312"/>
          <w:sz w:val="32"/>
          <w:szCs w:val="32"/>
        </w:rPr>
      </w:pPr>
    </w:p>
    <w:p w14:paraId="4D276CC4">
      <w:pPr>
        <w:ind w:left="0" w:leftChars="0" w:firstLine="0" w:firstLineChars="0"/>
        <w:jc w:val="both"/>
        <w:rPr>
          <w:rFonts w:hint="eastAsia" w:ascii="仿宋_GB2312" w:hAnsi="仿宋_GB2312" w:eastAsia="仿宋_GB2312" w:cs="仿宋_GB2312"/>
          <w:sz w:val="32"/>
          <w:szCs w:val="32"/>
        </w:rPr>
      </w:pPr>
    </w:p>
    <w:p w14:paraId="477AE336">
      <w:pPr>
        <w:ind w:left="0" w:leftChars="0" w:firstLine="0" w:firstLineChars="0"/>
        <w:jc w:val="both"/>
        <w:rPr>
          <w:rFonts w:hint="eastAsia" w:ascii="仿宋_GB2312" w:hAnsi="仿宋_GB2312" w:eastAsia="仿宋_GB2312" w:cs="仿宋_GB2312"/>
          <w:sz w:val="32"/>
          <w:szCs w:val="32"/>
        </w:rPr>
      </w:pPr>
    </w:p>
    <w:p w14:paraId="6836414D">
      <w:pPr>
        <w:ind w:left="0" w:leftChars="0" w:firstLine="0" w:firstLineChars="0"/>
        <w:jc w:val="both"/>
        <w:rPr>
          <w:rFonts w:hint="eastAsia" w:ascii="仿宋_GB2312" w:hAnsi="仿宋_GB2312" w:eastAsia="仿宋_GB2312" w:cs="仿宋_GB2312"/>
          <w:sz w:val="32"/>
          <w:szCs w:val="32"/>
        </w:rPr>
      </w:pPr>
    </w:p>
    <w:p w14:paraId="34C92BED">
      <w:pPr>
        <w:ind w:left="0" w:leftChars="0" w:firstLine="0" w:firstLineChars="0"/>
        <w:jc w:val="both"/>
        <w:rPr>
          <w:rFonts w:hint="eastAsia" w:ascii="仿宋_GB2312" w:hAnsi="仿宋_GB2312" w:eastAsia="仿宋_GB2312" w:cs="仿宋_GB2312"/>
          <w:sz w:val="32"/>
          <w:szCs w:val="32"/>
        </w:rPr>
      </w:pPr>
    </w:p>
    <w:p w14:paraId="7A153CBD">
      <w:pPr>
        <w:ind w:left="0" w:leftChars="0" w:firstLine="0" w:firstLineChars="0"/>
        <w:jc w:val="both"/>
        <w:rPr>
          <w:rFonts w:hint="eastAsia" w:ascii="黑体" w:hAnsi="黑体" w:eastAsia="黑体" w:cs="黑体"/>
          <w:sz w:val="32"/>
          <w:szCs w:val="28"/>
          <w:lang w:val="en-US" w:eastAsia="zh-CN"/>
        </w:rPr>
      </w:pPr>
    </w:p>
    <w:p w14:paraId="6C9A1BB2">
      <w:pPr>
        <w:ind w:left="0" w:leftChars="0" w:firstLine="0" w:firstLineChars="0"/>
        <w:jc w:val="both"/>
        <w:rPr>
          <w:rFonts w:hint="eastAsia" w:ascii="黑体" w:hAnsi="黑体" w:eastAsia="黑体" w:cs="黑体"/>
          <w:sz w:val="32"/>
          <w:szCs w:val="28"/>
          <w:lang w:val="en-US" w:eastAsia="zh-CN"/>
        </w:rPr>
      </w:pPr>
    </w:p>
    <w:p w14:paraId="3F4EBBA3">
      <w:pPr>
        <w:ind w:left="0" w:leftChars="0" w:firstLine="0" w:firstLineChars="0"/>
        <w:jc w:val="both"/>
        <w:rPr>
          <w:rFonts w:hint="eastAsia" w:ascii="黑体" w:hAnsi="黑体" w:eastAsia="黑体" w:cs="黑体"/>
          <w:sz w:val="32"/>
          <w:szCs w:val="28"/>
          <w:lang w:val="en-US" w:eastAsia="zh-CN"/>
        </w:rPr>
      </w:pPr>
    </w:p>
    <w:p w14:paraId="45315F59">
      <w:pPr>
        <w:ind w:left="0" w:leftChars="0" w:firstLine="0" w:firstLineChars="0"/>
        <w:jc w:val="both"/>
        <w:rPr>
          <w:rFonts w:hint="eastAsia" w:ascii="黑体" w:hAnsi="黑体" w:eastAsia="黑体" w:cs="黑体"/>
          <w:sz w:val="32"/>
          <w:szCs w:val="28"/>
          <w:lang w:val="en-US" w:eastAsia="zh-CN"/>
        </w:rPr>
        <w:sectPr>
          <w:pgSz w:w="11906" w:h="16838"/>
          <w:pgMar w:top="2098" w:right="1417" w:bottom="1531" w:left="1417" w:header="851" w:footer="992" w:gutter="0"/>
          <w:cols w:space="720" w:num="1"/>
          <w:docGrid w:type="lines" w:linePitch="312" w:charSpace="0"/>
        </w:sectPr>
      </w:pPr>
    </w:p>
    <w:p w14:paraId="54B44737">
      <w:pPr>
        <w:ind w:left="0" w:leftChars="0" w:firstLine="0" w:firstLineChars="0"/>
        <w:jc w:val="both"/>
        <w:rPr>
          <w:rFonts w:hint="eastAsia" w:ascii="CESI黑体-GB2312" w:hAnsi="CESI黑体-GB2312" w:eastAsia="CESI黑体-GB2312" w:cs="CESI黑体-GB2312"/>
          <w:sz w:val="32"/>
          <w:szCs w:val="28"/>
          <w:lang w:val="en-US" w:eastAsia="zh-CN"/>
        </w:rPr>
      </w:pPr>
      <w:r>
        <w:rPr>
          <w:rFonts w:hint="eastAsia" w:ascii="CESI黑体-GB2312" w:hAnsi="CESI黑体-GB2312" w:eastAsia="CESI黑体-GB2312" w:cs="CESI黑体-GB2312"/>
          <w:sz w:val="32"/>
          <w:szCs w:val="28"/>
          <w:lang w:val="en-US" w:eastAsia="zh-CN"/>
        </w:rPr>
        <w:t>附件2</w:t>
      </w:r>
    </w:p>
    <w:p w14:paraId="6A849C1D">
      <w:pPr>
        <w:keepNext w:val="0"/>
        <w:keepLines w:val="0"/>
        <w:pageBreakBefore w:val="0"/>
        <w:widowControl w:val="0"/>
        <w:kinsoku/>
        <w:wordWrap/>
        <w:overflowPunct/>
        <w:topLinePunct w:val="0"/>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报价表</w:t>
      </w:r>
    </w:p>
    <w:p w14:paraId="30DF0C74">
      <w:pPr>
        <w:rPr>
          <w:rFonts w:hint="eastAsia"/>
          <w:lang w:val="en-US" w:eastAsia="zh-CN"/>
        </w:rPr>
      </w:pPr>
    </w:p>
    <w:p w14:paraId="5C0B9E85">
      <w:pPr>
        <w:pStyle w:val="4"/>
        <w:ind w:left="0" w:leftChars="0" w:firstLine="0" w:firstLineChars="0"/>
        <w:rPr>
          <w:rFonts w:hint="default" w:eastAsia="宋体" w:cs="Times New Roman"/>
          <w:sz w:val="24"/>
          <w:szCs w:val="24"/>
          <w:lang w:val="en-US" w:eastAsia="zh-CN"/>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lang w:val="en-US" w:eastAsia="zh-CN"/>
        </w:rPr>
        <w:t>2025年河北省海洋公报生态环境监测项目</w:t>
      </w:r>
    </w:p>
    <w:p w14:paraId="09DD1EA6">
      <w:pPr>
        <w:pStyle w:val="4"/>
        <w:ind w:firstLine="420"/>
        <w:rPr>
          <w:rFonts w:hint="eastAsia" w:eastAsia="宋体" w:cs="Times New Roman"/>
          <w:lang w:val="en-US"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3"/>
        <w:gridCol w:w="1450"/>
        <w:gridCol w:w="1055"/>
        <w:gridCol w:w="4333"/>
      </w:tblGrid>
      <w:tr w14:paraId="402B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283" w:type="dxa"/>
            <w:noWrap w:val="0"/>
            <w:vAlign w:val="center"/>
          </w:tcPr>
          <w:p w14:paraId="3420F45D">
            <w:pPr>
              <w:spacing w:line="500" w:lineRule="exact"/>
              <w:ind w:firstLine="420"/>
              <w:jc w:val="both"/>
              <w:rPr>
                <w:rFonts w:hint="eastAsia" w:ascii="宋体" w:hAnsi="宋体" w:eastAsia="宋体" w:cs="宋体"/>
                <w:szCs w:val="21"/>
                <w:highlight w:val="none"/>
              </w:rPr>
            </w:pPr>
            <w:r>
              <w:rPr>
                <w:rFonts w:hint="eastAsia" w:ascii="宋体" w:hAnsi="宋体" w:eastAsia="宋体" w:cs="宋体"/>
                <w:szCs w:val="21"/>
                <w:highlight w:val="none"/>
              </w:rPr>
              <w:t>供应商名称</w:t>
            </w:r>
          </w:p>
        </w:tc>
        <w:tc>
          <w:tcPr>
            <w:tcW w:w="6838" w:type="dxa"/>
            <w:gridSpan w:val="3"/>
            <w:noWrap w:val="0"/>
            <w:vAlign w:val="center"/>
          </w:tcPr>
          <w:p w14:paraId="6514175F">
            <w:pPr>
              <w:spacing w:line="500" w:lineRule="exact"/>
              <w:ind w:firstLine="420"/>
              <w:jc w:val="center"/>
              <w:rPr>
                <w:rFonts w:hint="eastAsia" w:ascii="宋体" w:hAnsi="宋体" w:eastAsia="宋体" w:cs="宋体"/>
                <w:szCs w:val="21"/>
                <w:highlight w:val="none"/>
              </w:rPr>
            </w:pPr>
          </w:p>
        </w:tc>
      </w:tr>
      <w:tr w14:paraId="52F7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2283" w:type="dxa"/>
            <w:vMerge w:val="restart"/>
            <w:noWrap w:val="0"/>
            <w:vAlign w:val="center"/>
          </w:tcPr>
          <w:p w14:paraId="61C33BC9">
            <w:pPr>
              <w:spacing w:line="500" w:lineRule="exact"/>
              <w:ind w:left="0" w:leftChars="0" w:firstLine="0" w:firstLineChars="0"/>
              <w:jc w:val="center"/>
              <w:rPr>
                <w:rFonts w:hint="eastAsia" w:ascii="宋体" w:hAnsi="宋体" w:eastAsia="宋体" w:cs="宋体"/>
                <w:szCs w:val="21"/>
                <w:highlight w:val="none"/>
              </w:rPr>
            </w:pPr>
            <w:r>
              <w:rPr>
                <w:rFonts w:hint="eastAsia" w:ascii="宋体" w:hAnsi="宋体" w:eastAsia="宋体" w:cs="宋体"/>
                <w:szCs w:val="21"/>
                <w:highlight w:val="none"/>
              </w:rPr>
              <w:t>总价（元）</w:t>
            </w:r>
          </w:p>
        </w:tc>
        <w:tc>
          <w:tcPr>
            <w:tcW w:w="1450" w:type="dxa"/>
            <w:noWrap w:val="0"/>
            <w:vAlign w:val="center"/>
          </w:tcPr>
          <w:p w14:paraId="642BC826">
            <w:pPr>
              <w:spacing w:line="500" w:lineRule="exact"/>
              <w:ind w:firstLine="420"/>
              <w:jc w:val="both"/>
              <w:rPr>
                <w:rFonts w:hint="eastAsia" w:ascii="宋体" w:hAnsi="宋体" w:eastAsia="宋体" w:cs="宋体"/>
                <w:szCs w:val="21"/>
                <w:highlight w:val="none"/>
              </w:rPr>
            </w:pPr>
            <w:r>
              <w:rPr>
                <w:rFonts w:hint="eastAsia" w:ascii="宋体" w:hAnsi="宋体" w:eastAsia="宋体" w:cs="宋体"/>
                <w:szCs w:val="21"/>
                <w:highlight w:val="none"/>
              </w:rPr>
              <w:t>小写</w:t>
            </w:r>
          </w:p>
        </w:tc>
        <w:tc>
          <w:tcPr>
            <w:tcW w:w="5388" w:type="dxa"/>
            <w:gridSpan w:val="2"/>
            <w:noWrap w:val="0"/>
            <w:vAlign w:val="center"/>
          </w:tcPr>
          <w:p w14:paraId="0D477F96">
            <w:pPr>
              <w:spacing w:line="500" w:lineRule="exact"/>
              <w:ind w:firstLine="420"/>
              <w:jc w:val="center"/>
              <w:rPr>
                <w:rFonts w:hint="eastAsia" w:ascii="宋体" w:hAnsi="宋体" w:eastAsia="宋体" w:cs="宋体"/>
                <w:szCs w:val="21"/>
                <w:highlight w:val="none"/>
              </w:rPr>
            </w:pPr>
          </w:p>
        </w:tc>
      </w:tr>
      <w:tr w14:paraId="7849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2283" w:type="dxa"/>
            <w:vMerge w:val="continue"/>
            <w:noWrap w:val="0"/>
            <w:vAlign w:val="center"/>
          </w:tcPr>
          <w:p w14:paraId="01ED5EA0">
            <w:pPr>
              <w:spacing w:line="500" w:lineRule="exact"/>
              <w:ind w:firstLine="420"/>
              <w:jc w:val="center"/>
              <w:rPr>
                <w:rFonts w:hint="eastAsia" w:ascii="宋体" w:hAnsi="宋体" w:eastAsia="宋体" w:cs="宋体"/>
                <w:szCs w:val="21"/>
                <w:highlight w:val="none"/>
              </w:rPr>
            </w:pPr>
          </w:p>
        </w:tc>
        <w:tc>
          <w:tcPr>
            <w:tcW w:w="1450" w:type="dxa"/>
            <w:noWrap w:val="0"/>
            <w:vAlign w:val="center"/>
          </w:tcPr>
          <w:p w14:paraId="49A04322">
            <w:pPr>
              <w:spacing w:line="500" w:lineRule="exact"/>
              <w:ind w:firstLine="420"/>
              <w:jc w:val="both"/>
              <w:rPr>
                <w:rFonts w:hint="eastAsia" w:ascii="宋体" w:hAnsi="宋体" w:eastAsia="宋体" w:cs="宋体"/>
                <w:szCs w:val="21"/>
                <w:highlight w:val="none"/>
              </w:rPr>
            </w:pPr>
            <w:r>
              <w:rPr>
                <w:rFonts w:hint="eastAsia" w:ascii="宋体" w:hAnsi="宋体" w:eastAsia="宋体" w:cs="宋体"/>
                <w:szCs w:val="21"/>
                <w:highlight w:val="none"/>
              </w:rPr>
              <w:t>大写</w:t>
            </w:r>
          </w:p>
        </w:tc>
        <w:tc>
          <w:tcPr>
            <w:tcW w:w="5388" w:type="dxa"/>
            <w:gridSpan w:val="2"/>
            <w:noWrap w:val="0"/>
            <w:vAlign w:val="center"/>
          </w:tcPr>
          <w:p w14:paraId="47336218">
            <w:pPr>
              <w:spacing w:line="500" w:lineRule="exact"/>
              <w:ind w:firstLine="420"/>
              <w:jc w:val="center"/>
              <w:rPr>
                <w:rFonts w:hint="eastAsia" w:ascii="宋体" w:hAnsi="宋体" w:eastAsia="宋体" w:cs="宋体"/>
                <w:szCs w:val="21"/>
                <w:highlight w:val="none"/>
              </w:rPr>
            </w:pPr>
          </w:p>
        </w:tc>
      </w:tr>
      <w:tr w14:paraId="11E0B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283" w:type="dxa"/>
            <w:noWrap w:val="0"/>
            <w:vAlign w:val="center"/>
          </w:tcPr>
          <w:p w14:paraId="2F639EB9">
            <w:pPr>
              <w:spacing w:line="500" w:lineRule="exact"/>
              <w:ind w:firstLine="630" w:firstLineChars="300"/>
              <w:jc w:val="both"/>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服务期限</w:t>
            </w:r>
          </w:p>
        </w:tc>
        <w:tc>
          <w:tcPr>
            <w:tcW w:w="6838" w:type="dxa"/>
            <w:gridSpan w:val="3"/>
            <w:noWrap w:val="0"/>
            <w:vAlign w:val="center"/>
          </w:tcPr>
          <w:p w14:paraId="2AE78313">
            <w:pPr>
              <w:spacing w:line="500" w:lineRule="exact"/>
              <w:ind w:firstLine="420"/>
              <w:jc w:val="center"/>
              <w:rPr>
                <w:rFonts w:hint="eastAsia" w:ascii="宋体" w:hAnsi="宋体" w:eastAsia="宋体" w:cs="宋体"/>
                <w:szCs w:val="21"/>
                <w:highlight w:val="none"/>
              </w:rPr>
            </w:pPr>
          </w:p>
        </w:tc>
      </w:tr>
      <w:tr w14:paraId="4A23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283" w:type="dxa"/>
            <w:noWrap w:val="0"/>
            <w:vAlign w:val="center"/>
          </w:tcPr>
          <w:p w14:paraId="5D1AFAF7">
            <w:pPr>
              <w:spacing w:line="500" w:lineRule="exact"/>
              <w:ind w:firstLine="630" w:firstLineChars="300"/>
              <w:jc w:val="both"/>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服务质量</w:t>
            </w:r>
          </w:p>
        </w:tc>
        <w:tc>
          <w:tcPr>
            <w:tcW w:w="6838" w:type="dxa"/>
            <w:gridSpan w:val="3"/>
            <w:noWrap w:val="0"/>
            <w:vAlign w:val="center"/>
          </w:tcPr>
          <w:p w14:paraId="79B936F7">
            <w:pPr>
              <w:spacing w:line="500" w:lineRule="exact"/>
              <w:ind w:firstLine="420"/>
              <w:jc w:val="center"/>
              <w:rPr>
                <w:rFonts w:hint="eastAsia" w:ascii="宋体" w:hAnsi="宋体" w:eastAsia="宋体" w:cs="宋体"/>
                <w:szCs w:val="21"/>
                <w:highlight w:val="none"/>
              </w:rPr>
            </w:pPr>
          </w:p>
        </w:tc>
      </w:tr>
      <w:tr w14:paraId="5C056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283" w:type="dxa"/>
            <w:noWrap w:val="0"/>
            <w:vAlign w:val="center"/>
          </w:tcPr>
          <w:p w14:paraId="75BC088D">
            <w:pPr>
              <w:spacing w:line="500" w:lineRule="exact"/>
              <w:ind w:left="0" w:leftChars="0" w:firstLine="0" w:firstLineChars="0"/>
              <w:jc w:val="center"/>
              <w:rPr>
                <w:rFonts w:hint="eastAsia" w:ascii="宋体" w:hAnsi="宋体" w:eastAsia="宋体" w:cs="宋体"/>
                <w:szCs w:val="21"/>
                <w:highlight w:val="none"/>
              </w:rPr>
            </w:pPr>
            <w:r>
              <w:rPr>
                <w:rFonts w:hint="eastAsia" w:ascii="宋体" w:hAnsi="宋体" w:eastAsia="宋体" w:cs="宋体"/>
                <w:szCs w:val="21"/>
                <w:highlight w:val="none"/>
              </w:rPr>
              <w:t>其它优惠或承诺</w:t>
            </w:r>
          </w:p>
        </w:tc>
        <w:tc>
          <w:tcPr>
            <w:tcW w:w="6838" w:type="dxa"/>
            <w:gridSpan w:val="3"/>
            <w:noWrap w:val="0"/>
            <w:vAlign w:val="center"/>
          </w:tcPr>
          <w:p w14:paraId="5C88D72D">
            <w:pPr>
              <w:spacing w:line="500" w:lineRule="exact"/>
              <w:ind w:firstLine="420"/>
              <w:jc w:val="center"/>
              <w:rPr>
                <w:rFonts w:hint="eastAsia" w:ascii="宋体" w:hAnsi="宋体" w:eastAsia="宋体" w:cs="宋体"/>
                <w:szCs w:val="21"/>
                <w:highlight w:val="none"/>
              </w:rPr>
            </w:pPr>
          </w:p>
        </w:tc>
      </w:tr>
      <w:tr w14:paraId="2C82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2283" w:type="dxa"/>
            <w:noWrap w:val="0"/>
            <w:vAlign w:val="center"/>
          </w:tcPr>
          <w:p w14:paraId="2F295365">
            <w:pPr>
              <w:spacing w:line="500" w:lineRule="exact"/>
              <w:ind w:left="0" w:leftChars="0" w:firstLine="0" w:firstLineChars="0"/>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c>
          <w:tcPr>
            <w:tcW w:w="6838" w:type="dxa"/>
            <w:gridSpan w:val="3"/>
            <w:noWrap w:val="0"/>
            <w:vAlign w:val="center"/>
          </w:tcPr>
          <w:p w14:paraId="7CB0CBE0">
            <w:pPr>
              <w:spacing w:line="500" w:lineRule="exact"/>
              <w:ind w:firstLine="420"/>
              <w:jc w:val="center"/>
              <w:rPr>
                <w:rFonts w:hint="eastAsia" w:ascii="宋体" w:hAnsi="宋体" w:eastAsia="宋体" w:cs="宋体"/>
                <w:szCs w:val="21"/>
                <w:highlight w:val="none"/>
              </w:rPr>
            </w:pPr>
          </w:p>
        </w:tc>
      </w:tr>
      <w:tr w14:paraId="2DEB9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4" w:hRule="atLeast"/>
          <w:jc w:val="center"/>
        </w:trPr>
        <w:tc>
          <w:tcPr>
            <w:tcW w:w="4788" w:type="dxa"/>
            <w:gridSpan w:val="3"/>
            <w:noWrap w:val="0"/>
            <w:vAlign w:val="center"/>
          </w:tcPr>
          <w:p w14:paraId="182D88B4">
            <w:pPr>
              <w:spacing w:line="500" w:lineRule="exact"/>
              <w:ind w:firstLine="420"/>
              <w:jc w:val="center"/>
              <w:rPr>
                <w:rFonts w:hint="eastAsia" w:ascii="宋体" w:hAnsi="宋体" w:eastAsia="宋体" w:cs="宋体"/>
                <w:szCs w:val="21"/>
                <w:highlight w:val="none"/>
              </w:rPr>
            </w:pPr>
            <w:r>
              <w:rPr>
                <w:rFonts w:hint="eastAsia" w:ascii="宋体" w:hAnsi="宋体" w:eastAsia="宋体" w:cs="宋体"/>
                <w:szCs w:val="21"/>
                <w:highlight w:val="none"/>
              </w:rPr>
              <w:t>供应商（</w:t>
            </w:r>
            <w:r>
              <w:rPr>
                <w:rFonts w:hint="eastAsia" w:ascii="宋体" w:hAnsi="宋体" w:eastAsia="宋体" w:cs="宋体"/>
                <w:highlight w:val="none"/>
                <w:lang w:eastAsia="zh-CN"/>
              </w:rPr>
              <w:t>盖</w:t>
            </w:r>
            <w:r>
              <w:rPr>
                <w:rFonts w:hint="eastAsia" w:ascii="宋体" w:hAnsi="宋体" w:eastAsia="宋体" w:cs="宋体"/>
                <w:highlight w:val="none"/>
              </w:rPr>
              <w:t>公章</w:t>
            </w:r>
            <w:r>
              <w:rPr>
                <w:rFonts w:hint="eastAsia" w:ascii="宋体" w:hAnsi="宋体" w:eastAsia="宋体" w:cs="宋体"/>
                <w:szCs w:val="21"/>
                <w:highlight w:val="none"/>
              </w:rPr>
              <w:t>）</w:t>
            </w:r>
          </w:p>
          <w:p w14:paraId="3BB7434E">
            <w:pPr>
              <w:spacing w:line="500" w:lineRule="exact"/>
              <w:ind w:firstLine="420"/>
              <w:jc w:val="center"/>
              <w:rPr>
                <w:rFonts w:hint="eastAsia" w:ascii="宋体" w:hAnsi="宋体" w:eastAsia="宋体" w:cs="宋体"/>
                <w:szCs w:val="21"/>
                <w:highlight w:val="none"/>
              </w:rPr>
            </w:pPr>
          </w:p>
          <w:p w14:paraId="0F100B3D">
            <w:pPr>
              <w:spacing w:line="500" w:lineRule="exact"/>
              <w:ind w:firstLine="420"/>
              <w:jc w:val="center"/>
              <w:rPr>
                <w:rFonts w:hint="eastAsia" w:ascii="宋体" w:hAnsi="宋体" w:eastAsia="宋体" w:cs="宋体"/>
                <w:szCs w:val="21"/>
                <w:highlight w:val="none"/>
              </w:rPr>
            </w:pPr>
            <w:r>
              <w:rPr>
                <w:rFonts w:hint="eastAsia" w:ascii="宋体" w:hAnsi="宋体" w:eastAsia="宋体" w:cs="宋体"/>
                <w:szCs w:val="21"/>
                <w:highlight w:val="none"/>
              </w:rPr>
              <w:t>年   月   日</w:t>
            </w:r>
          </w:p>
        </w:tc>
        <w:tc>
          <w:tcPr>
            <w:tcW w:w="4333" w:type="dxa"/>
            <w:noWrap w:val="0"/>
            <w:vAlign w:val="center"/>
          </w:tcPr>
          <w:p w14:paraId="4D71E165">
            <w:pPr>
              <w:spacing w:line="500" w:lineRule="exact"/>
              <w:ind w:firstLine="420"/>
              <w:jc w:val="center"/>
              <w:rPr>
                <w:rFonts w:hint="eastAsia" w:ascii="宋体" w:hAnsi="宋体" w:eastAsia="宋体" w:cs="宋体"/>
                <w:szCs w:val="21"/>
                <w:highlight w:val="none"/>
              </w:rPr>
            </w:pPr>
            <w:r>
              <w:rPr>
                <w:rFonts w:hint="eastAsia" w:ascii="宋体" w:hAnsi="宋体" w:eastAsia="宋体" w:cs="宋体"/>
                <w:szCs w:val="21"/>
                <w:highlight w:val="none"/>
              </w:rPr>
              <w:t>法定代表人：（印鉴</w:t>
            </w:r>
            <w:r>
              <w:rPr>
                <w:rFonts w:hint="eastAsia" w:ascii="宋体" w:hAnsi="宋体" w:eastAsia="宋体" w:cs="宋体"/>
                <w:szCs w:val="21"/>
                <w:highlight w:val="none"/>
                <w:lang w:eastAsia="zh-CN"/>
              </w:rPr>
              <w:t>或</w:t>
            </w:r>
            <w:r>
              <w:rPr>
                <w:rFonts w:hint="eastAsia" w:ascii="宋体" w:hAnsi="宋体" w:eastAsia="宋体" w:cs="宋体"/>
                <w:szCs w:val="21"/>
                <w:highlight w:val="none"/>
              </w:rPr>
              <w:t>签字）</w:t>
            </w:r>
          </w:p>
        </w:tc>
      </w:tr>
    </w:tbl>
    <w:p w14:paraId="73C8B7D5">
      <w:pPr>
        <w:bidi w:val="0"/>
        <w:rPr>
          <w:rFonts w:hint="eastAsia"/>
          <w:highlight w:val="none"/>
          <w:lang w:val="en-US" w:eastAsia="zh-CN"/>
        </w:rPr>
      </w:pPr>
    </w:p>
    <w:p w14:paraId="0F38551E">
      <w:pPr>
        <w:bidi w:val="0"/>
      </w:pPr>
      <w:r>
        <w:rPr>
          <w:rFonts w:hint="eastAsia"/>
          <w:highlight w:val="none"/>
          <w:lang w:val="en-US" w:eastAsia="zh-CN"/>
        </w:rPr>
        <w:t>附：报价明细表（格式自拟）</w:t>
      </w:r>
    </w:p>
    <w:p w14:paraId="6EF328E5">
      <w:bookmarkStart w:id="0" w:name="_GoBack"/>
      <w:bookmarkEnd w:id="0"/>
    </w:p>
    <w:sectPr>
      <w:pgSz w:w="11906" w:h="16838"/>
      <w:pgMar w:top="2098" w:right="1417" w:bottom="153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504020202020204"/>
    <w:charset w:val="00"/>
    <w:family w:val="swiss"/>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ZGY4ZjdmOGRjMThlMWUwMWY3MjhmNjA1MDIwODUifQ=="/>
  </w:docVars>
  <w:rsids>
    <w:rsidRoot w:val="00000000"/>
    <w:rsid w:val="46084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4">
    <w:name w:val="Normal Indent"/>
    <w:basedOn w:val="1"/>
    <w:qFormat/>
    <w:uiPriority w:val="0"/>
    <w:pPr>
      <w:ind w:firstLine="420" w:firstLineChars="200"/>
    </w:pPr>
  </w:style>
  <w:style w:type="paragraph" w:customStyle="1" w:styleId="7">
    <w:name w:val="正文1"/>
    <w:basedOn w:val="1"/>
    <w:qFormat/>
    <w:uiPriority w:val="0"/>
    <w:pPr>
      <w:widowControl/>
      <w:spacing w:line="360" w:lineRule="auto"/>
      <w:ind w:firstLine="200" w:firstLineChars="200"/>
    </w:pPr>
    <w:rPr>
      <w:rFonts w:eastAsia="仿宋_GB2312"/>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2024-08-23T02:18:32Z</dcterms:created>
  <dc:creator>lenovo</dc:creator>
  <cp:lastModifiedBy>小毛驴~</cp:lastModifiedBy>
  <dcterms:modified xsi:type="dcterms:W3CDTF">2024-08-23T02:18:51Z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C5ADFF74064B4B369796FF04EF9F2A71_12</vt:lpwstr>
  </property>
</Properties>
</file>