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-SA"/>
        </w:rPr>
        <w:t>附件2</w:t>
      </w:r>
    </w:p>
    <w:p>
      <w:pPr>
        <w:pStyle w:val="7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zh-CN" w:eastAsia="zh-CN" w:bidi="ar-SA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-SA"/>
        </w:rPr>
        <w:t>河北省重金属污染物排污权有偿</w:t>
      </w:r>
    </w:p>
    <w:p>
      <w:pPr>
        <w:pStyle w:val="8"/>
        <w:spacing w:line="600" w:lineRule="exact"/>
        <w:ind w:firstLine="0"/>
        <w:jc w:val="center"/>
        <w:rPr>
          <w:rFonts w:hAnsi="宋体"/>
          <w:b/>
          <w:sz w:val="36"/>
          <w:szCs w:val="36"/>
          <w:lang w:val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-SA"/>
        </w:rPr>
        <w:t>使用和交易管理暂行办法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zh-CN" w:eastAsia="zh-CN" w:bidi="ar-SA"/>
        </w:rPr>
        <w:t>》的起草说明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</w:p>
    <w:p>
      <w:pPr>
        <w:widowControl/>
        <w:spacing w:line="600" w:lineRule="exact"/>
        <w:ind w:firstLine="640" w:firstLineChars="200"/>
        <w:outlineLvl w:val="0"/>
        <w:rPr>
          <w:rFonts w:eastAsia="黑体"/>
        </w:rPr>
      </w:pPr>
      <w:r>
        <w:rPr>
          <w:rFonts w:eastAsia="黑体"/>
          <w:sz w:val="32"/>
          <w:szCs w:val="32"/>
        </w:rPr>
        <w:t>一、起草背景和过程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2021年以来，在省委、省政府正确领导下，省生态环境厅会同省直有关部门，积极推进排污权交易制度改革，初步建立起以省政府办公厅印发的《关于深化排污权交易改革实施方案》为统领，排污权确权管理、政府储备、市场交易3个办法，以及市场交易、电子竞价2个细则为支撑的“1+3+2”政策体系。6月7日，胡启生副省长为排污权交易市场鸣锣开市，拉开了我省市场化交易帷幕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eastAsia="zh-CN"/>
        </w:rPr>
        <w:t>持续深化排污权交易改革，扩展排污权交易种类，发挥市场配置生态环境资源作用，实现重金属排污权科学高效流转，借鉴湖南省经验做法，</w:t>
      </w:r>
      <w:r>
        <w:rPr>
          <w:rFonts w:ascii="仿宋" w:hAnsi="仿宋" w:eastAsia="仿宋"/>
          <w:sz w:val="32"/>
          <w:szCs w:val="32"/>
        </w:rPr>
        <w:t>本着优化营商环境、</w:t>
      </w:r>
      <w:r>
        <w:rPr>
          <w:rFonts w:hint="eastAsia" w:ascii="仿宋" w:hAnsi="仿宋" w:eastAsia="仿宋"/>
          <w:sz w:val="32"/>
          <w:szCs w:val="32"/>
          <w:lang w:eastAsia="zh-CN"/>
        </w:rPr>
        <w:t>保障</w:t>
      </w:r>
      <w:r>
        <w:rPr>
          <w:rFonts w:ascii="仿宋" w:hAnsi="仿宋" w:eastAsia="仿宋"/>
          <w:sz w:val="32"/>
          <w:szCs w:val="32"/>
        </w:rPr>
        <w:t>项目落地实施的原则，统筹考虑</w:t>
      </w:r>
      <w:r>
        <w:rPr>
          <w:rFonts w:hint="eastAsia" w:ascii="仿宋" w:hAnsi="仿宋" w:eastAsia="仿宋"/>
          <w:sz w:val="32"/>
          <w:szCs w:val="32"/>
          <w:lang w:eastAsia="zh-CN"/>
        </w:rPr>
        <w:t>重金属</w:t>
      </w:r>
      <w:r>
        <w:rPr>
          <w:rFonts w:ascii="仿宋" w:hAnsi="仿宋" w:eastAsia="仿宋"/>
          <w:sz w:val="32"/>
          <w:szCs w:val="32"/>
        </w:rPr>
        <w:t>污染减排、</w:t>
      </w:r>
      <w:r>
        <w:rPr>
          <w:rFonts w:hint="eastAsia" w:ascii="仿宋" w:hAnsi="仿宋" w:eastAsia="仿宋"/>
          <w:sz w:val="32"/>
          <w:szCs w:val="32"/>
          <w:lang w:eastAsia="zh-CN"/>
        </w:rPr>
        <w:t>指标统筹管理、</w:t>
      </w:r>
      <w:r>
        <w:rPr>
          <w:rFonts w:ascii="仿宋" w:hAnsi="仿宋" w:eastAsia="仿宋"/>
          <w:sz w:val="32"/>
          <w:szCs w:val="32"/>
        </w:rPr>
        <w:t>生态环境质量改善等要素，</w:t>
      </w:r>
      <w:r>
        <w:rPr>
          <w:rFonts w:ascii="仿宋" w:hAnsi="仿宋" w:eastAsia="仿宋"/>
          <w:color w:val="000000"/>
          <w:sz w:val="32"/>
          <w:szCs w:val="32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排污权确权和政府储备、排污权有偿使用和交易、排污权出让收入管理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" w:eastAsia="zh-CN"/>
        </w:rPr>
        <w:t>等方面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研究起草了《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河北省重金属污染物排污权有偿使用和交易管理暂行办法</w:t>
      </w:r>
      <w:r>
        <w:rPr>
          <w:rFonts w:ascii="仿宋" w:hAnsi="仿宋" w:eastAsia="仿宋"/>
          <w:color w:val="00000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（征求意见稿）。</w:t>
      </w:r>
    </w:p>
    <w:p>
      <w:pPr>
        <w:spacing w:line="600" w:lineRule="exact"/>
        <w:ind w:firstLine="640" w:firstLineChars="200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二、主要内容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河北省重金属污染物排污权有偿使用和交易管理暂行办法</w:t>
      </w:r>
      <w:r>
        <w:rPr>
          <w:rFonts w:ascii="仿宋" w:hAnsi="仿宋" w:eastAsia="仿宋"/>
          <w:color w:val="00000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（征求意见稿）</w:t>
      </w:r>
      <w:r>
        <w:rPr>
          <w:rFonts w:ascii="仿宋" w:hAnsi="仿宋" w:eastAsia="仿宋"/>
          <w:sz w:val="32"/>
          <w:szCs w:val="32"/>
        </w:rPr>
        <w:t>包括</w:t>
      </w: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ascii="仿宋" w:hAnsi="仿宋" w:eastAsia="仿宋"/>
          <w:sz w:val="32"/>
          <w:szCs w:val="32"/>
        </w:rPr>
        <w:t>章：总则、排污权</w:t>
      </w:r>
      <w:r>
        <w:rPr>
          <w:rFonts w:hint="eastAsia" w:ascii="仿宋" w:hAnsi="仿宋" w:eastAsia="仿宋"/>
          <w:sz w:val="32"/>
          <w:szCs w:val="32"/>
          <w:lang w:eastAsia="zh-CN"/>
        </w:rPr>
        <w:t>确权和政府储备</w:t>
      </w:r>
      <w:r>
        <w:rPr>
          <w:rFonts w:ascii="仿宋" w:hAnsi="仿宋" w:eastAsia="仿宋"/>
          <w:sz w:val="32"/>
          <w:szCs w:val="32"/>
        </w:rPr>
        <w:t>、排污权</w:t>
      </w:r>
      <w:r>
        <w:rPr>
          <w:rFonts w:hint="eastAsia" w:ascii="仿宋" w:hAnsi="仿宋" w:eastAsia="仿宋"/>
          <w:sz w:val="32"/>
          <w:szCs w:val="32"/>
          <w:lang w:eastAsia="zh-CN"/>
        </w:rPr>
        <w:t>有偿使用和交易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排污权出让收入</w:t>
      </w:r>
      <w:r>
        <w:rPr>
          <w:rFonts w:ascii="仿宋" w:hAnsi="仿宋" w:eastAsia="仿宋"/>
          <w:sz w:val="32"/>
          <w:szCs w:val="32"/>
        </w:rPr>
        <w:t>管理、</w:t>
      </w:r>
      <w:r>
        <w:rPr>
          <w:rFonts w:hint="eastAsia" w:ascii="仿宋" w:hAnsi="仿宋" w:eastAsia="仿宋"/>
          <w:sz w:val="32"/>
          <w:szCs w:val="32"/>
          <w:lang w:eastAsia="zh-CN"/>
        </w:rPr>
        <w:t>监督管理、</w:t>
      </w:r>
      <w:r>
        <w:rPr>
          <w:rFonts w:ascii="仿宋" w:hAnsi="仿宋" w:eastAsia="仿宋"/>
          <w:sz w:val="32"/>
          <w:szCs w:val="32"/>
        </w:rPr>
        <w:t>附则</w:t>
      </w:r>
      <w:r>
        <w:rPr>
          <w:rFonts w:hint="eastAsia" w:ascii="仿宋" w:hAnsi="仿宋" w:eastAsia="仿宋"/>
          <w:sz w:val="32"/>
          <w:szCs w:val="32"/>
          <w:lang w:eastAsia="zh-CN"/>
        </w:rPr>
        <w:t>，共计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37条。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Ansi="楷体" w:eastAsia="楷体"/>
          <w:sz w:val="32"/>
          <w:szCs w:val="32"/>
        </w:rPr>
        <w:t>总则</w:t>
      </w:r>
      <w:r>
        <w:rPr>
          <w:rFonts w:ascii="仿宋" w:hAnsi="仿宋" w:eastAsia="仿宋"/>
          <w:color w:val="000000"/>
          <w:sz w:val="32"/>
          <w:szCs w:val="32"/>
        </w:rPr>
        <w:t>，主要包括制定依据、适用范围、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基本原则、</w:t>
      </w:r>
      <w:r>
        <w:rPr>
          <w:rFonts w:ascii="仿宋" w:hAnsi="仿宋" w:eastAsia="仿宋"/>
          <w:color w:val="000000"/>
          <w:sz w:val="32"/>
          <w:szCs w:val="32"/>
        </w:rPr>
        <w:t>名词释义、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污染物</w:t>
      </w:r>
      <w:r>
        <w:rPr>
          <w:rFonts w:ascii="仿宋" w:hAnsi="仿宋" w:eastAsia="仿宋"/>
          <w:color w:val="000000"/>
          <w:sz w:val="32"/>
          <w:szCs w:val="32"/>
        </w:rPr>
        <w:t>种类、部门职责、承担机构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、平台要求、有偿使用和交易、排污单位权利和义务</w:t>
      </w:r>
      <w:r>
        <w:rPr>
          <w:rFonts w:ascii="仿宋" w:hAnsi="仿宋" w:eastAsia="仿宋"/>
          <w:color w:val="000000"/>
          <w:sz w:val="32"/>
          <w:szCs w:val="32"/>
        </w:rPr>
        <w:t>等。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Ansi="楷体" w:eastAsia="楷体"/>
          <w:sz w:val="32"/>
          <w:szCs w:val="32"/>
        </w:rPr>
        <w:t>排污权</w:t>
      </w:r>
      <w:r>
        <w:rPr>
          <w:rFonts w:hint="eastAsia" w:hAnsi="楷体" w:eastAsia="楷体"/>
          <w:sz w:val="32"/>
          <w:szCs w:val="32"/>
          <w:lang w:eastAsia="zh-CN"/>
        </w:rPr>
        <w:t>确权和政府储备</w:t>
      </w:r>
      <w:r>
        <w:rPr>
          <w:rFonts w:hAnsi="楷体" w:eastAsia="楷体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主要包括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确权期限和数量要求、确权程序和凭证、申请要求、确权原则、暂不确权、确权处置、储备来源、储备方式、确权凭证变更、储备使用等。</w:t>
      </w:r>
    </w:p>
    <w:p>
      <w:pPr>
        <w:pStyle w:val="2"/>
        <w:spacing w:line="600" w:lineRule="exact"/>
        <w:ind w:firstLine="640" w:firstLineChars="200"/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楷体" w:eastAsia="楷体" w:cs="Times New Roman"/>
          <w:kern w:val="2"/>
          <w:sz w:val="32"/>
          <w:szCs w:val="32"/>
          <w:lang w:val="en-US" w:eastAsia="zh-CN"/>
        </w:rPr>
        <w:t>排污权有偿使用和交易，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/>
        </w:rPr>
        <w:t>主要包括有偿使用出让标准、定额出让、补缴规定、交易主体、交易方式和成交价格、可交易排污权认定、交易规定、排污权变更等。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楷体" w:eastAsia="楷体" w:cs="Times New Roman"/>
          <w:kern w:val="2"/>
          <w:sz w:val="32"/>
          <w:szCs w:val="32"/>
          <w:lang w:val="en-US" w:eastAsia="zh-CN"/>
        </w:rPr>
        <w:t>排污权出让收入管理，</w:t>
      </w:r>
      <w:r>
        <w:rPr>
          <w:rFonts w:hint="eastAsia" w:ascii="仿宋" w:hAnsi="仿宋" w:eastAsia="仿宋"/>
          <w:sz w:val="32"/>
          <w:szCs w:val="32"/>
          <w:lang w:eastAsia="zh-CN"/>
        </w:rPr>
        <w:t>主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/>
        </w:rPr>
        <w:t>要包括资金属性、政府出让分配、资金使用等。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楷体" w:eastAsia="楷体" w:cs="Times New Roman"/>
          <w:kern w:val="2"/>
          <w:sz w:val="32"/>
          <w:szCs w:val="32"/>
          <w:lang w:val="en-US" w:eastAsia="zh-CN"/>
        </w:rPr>
        <w:t>监督管理，</w:t>
      </w:r>
      <w:r>
        <w:rPr>
          <w:rFonts w:hint="eastAsia" w:ascii="仿宋" w:hAnsi="仿宋" w:eastAsia="仿宋" w:cs="Times New Roman"/>
          <w:color w:val="000000"/>
          <w:kern w:val="2"/>
          <w:sz w:val="32"/>
          <w:szCs w:val="32"/>
          <w:lang w:val="en-US" w:eastAsia="zh-CN"/>
        </w:rPr>
        <w:t>主要包括部门配合、接受审计、执法监管、信息公开、惩戒措施等。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Ansi="楷体" w:eastAsia="楷体"/>
          <w:sz w:val="32"/>
          <w:szCs w:val="32"/>
        </w:rPr>
        <w:t>附则，</w:t>
      </w:r>
      <w:r>
        <w:rPr>
          <w:rFonts w:ascii="仿宋" w:hAnsi="仿宋" w:eastAsia="仿宋"/>
          <w:color w:val="000000"/>
          <w:sz w:val="32"/>
          <w:szCs w:val="32"/>
        </w:rPr>
        <w:t>主要规定了实施时间。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B07D3"/>
    <w:rsid w:val="14CB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/>
    </w:pPr>
  </w:style>
  <w:style w:type="paragraph" w:customStyle="1" w:styleId="3">
    <w:name w:val="&quot;&quot;&quot;&quot;Normal Indent&quot;&quot;&quot;&quot;"/>
    <w:next w:val="1"/>
    <w:qFormat/>
    <w:uiPriority w:val="0"/>
    <w:pPr>
      <w:widowControl w:val="0"/>
      <w:spacing w:before="0" w:after="0"/>
      <w:ind w:left="0" w:right="0" w:firstLine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/>
      <w:sz w:val="21"/>
      <w:szCs w:val="20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customStyle="1" w:styleId="8">
    <w:name w:val="Char Char Char Char Char Char Char Char Char1 Char"/>
    <w:basedOn w:val="1"/>
    <w:next w:val="9"/>
    <w:qFormat/>
    <w:uiPriority w:val="0"/>
    <w:pPr>
      <w:spacing w:line="360" w:lineRule="auto"/>
      <w:ind w:firstLine="200"/>
      <w:jc w:val="both"/>
    </w:pPr>
    <w:rPr>
      <w:rFonts w:ascii="宋体" w:hAnsi="Times New Roman" w:eastAsia="宋体"/>
      <w:szCs w:val="20"/>
    </w:rPr>
  </w:style>
  <w:style w:type="paragraph" w:customStyle="1" w:styleId="9">
    <w:name w:val="Body Text First Indent1"/>
    <w:next w:val="1"/>
    <w:qFormat/>
    <w:uiPriority w:val="0"/>
    <w:pPr>
      <w:widowControl w:val="0"/>
      <w:spacing w:after="120" w:afterLines="0"/>
      <w:ind w:firstLine="42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2023-03-03T01:16:00Z</dcterms:created>
  <dc:creator>王燕</dc:creator>
  <cp:lastModifiedBy>王燕</cp:lastModifiedBy>
  <dcterms:modified xsi:type="dcterms:W3CDTF">2023-03-03T01:17:31Z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