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40" w:lineRule="exact"/>
        <w:jc w:val="center"/>
        <w:textAlignment w:val="auto"/>
        <w:rPr>
          <w:rFonts w:hint="eastAsia" w:ascii="华文中宋" w:hAnsi="华文中宋" w:eastAsia="华文中宋" w:cs="Times New Roman"/>
          <w:b/>
          <w:bCs/>
          <w:spacing w:val="0"/>
          <w:sz w:val="44"/>
          <w:szCs w:val="44"/>
          <w:lang w:val="en-US" w:eastAsia="zh-CN"/>
        </w:rPr>
      </w:pPr>
      <w:bookmarkStart w:id="0" w:name="_GoBack"/>
      <w:bookmarkEnd w:id="0"/>
      <w:r>
        <w:rPr>
          <w:rFonts w:hint="eastAsia" w:ascii="华文中宋" w:hAnsi="华文中宋" w:eastAsia="华文中宋" w:cs="Times New Roman"/>
          <w:b/>
          <w:bCs/>
          <w:spacing w:val="0"/>
          <w:sz w:val="44"/>
          <w:szCs w:val="44"/>
          <w:lang w:val="en-US" w:eastAsia="zh-CN"/>
        </w:rPr>
        <w:t>河北省主要污染物排污权确权管理暂行办法</w:t>
      </w:r>
    </w:p>
    <w:p>
      <w:pPr>
        <w:widowControl w:val="0"/>
        <w:wordWrap/>
        <w:adjustRightInd/>
        <w:snapToGrid/>
        <w:spacing w:line="640" w:lineRule="exact"/>
        <w:jc w:val="center"/>
        <w:textAlignment w:val="auto"/>
        <w:rPr>
          <w:rFonts w:hint="eastAsia" w:ascii="楷体" w:hAnsi="楷体" w:eastAsia="楷体" w:cs="楷体"/>
          <w:b w:val="0"/>
          <w:bCs w:val="0"/>
          <w:spacing w:val="0"/>
          <w:sz w:val="44"/>
          <w:szCs w:val="44"/>
          <w:lang w:val="en-US" w:eastAsia="zh-CN"/>
        </w:rPr>
      </w:pPr>
      <w:r>
        <w:rPr>
          <w:rFonts w:hint="eastAsia" w:ascii="楷体" w:hAnsi="楷体" w:eastAsia="楷体" w:cs="楷体"/>
          <w:b w:val="0"/>
          <w:bCs w:val="0"/>
          <w:spacing w:val="0"/>
          <w:sz w:val="32"/>
          <w:szCs w:val="32"/>
          <w:lang w:val="en-US" w:eastAsia="zh-CN"/>
        </w:rPr>
        <w:t>（征求意见稿）</w:t>
      </w:r>
    </w:p>
    <w:p>
      <w:pPr>
        <w:pStyle w:val="3"/>
        <w:widowControl w:val="0"/>
        <w:wordWrap/>
        <w:adjustRightInd/>
        <w:snapToGrid/>
        <w:spacing w:line="640" w:lineRule="exact"/>
        <w:jc w:val="center"/>
        <w:textAlignment w:val="auto"/>
        <w:rPr>
          <w:rFonts w:hint="eastAsia"/>
          <w:sz w:val="32"/>
          <w:szCs w:val="32"/>
          <w:lang w:val="en-US" w:eastAsia="zh-CN"/>
        </w:rPr>
      </w:pPr>
    </w:p>
    <w:p>
      <w:pPr>
        <w:widowControl w:val="0"/>
        <w:wordWrap/>
        <w:adjustRightInd/>
        <w:snapToGrid/>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总则</w:t>
      </w:r>
    </w:p>
    <w:p>
      <w:pPr>
        <w:pStyle w:val="2"/>
        <w:widowControl w:val="0"/>
        <w:wordWrap/>
        <w:adjustRightInd/>
        <w:snapToGrid/>
        <w:spacing w:before="0" w:beforeLines="0" w:after="0" w:afterLines="0" w:line="360" w:lineRule="auto"/>
        <w:jc w:val="center"/>
        <w:textAlignment w:val="auto"/>
        <w:rPr>
          <w:rFonts w:hint="eastAsia"/>
          <w:sz w:val="32"/>
          <w:szCs w:val="32"/>
        </w:rPr>
      </w:pPr>
    </w:p>
    <w:p>
      <w:pPr>
        <w:widowControl w:val="0"/>
        <w:wordWrap/>
        <w:adjustRightInd/>
        <w:snapToGrid/>
        <w:spacing w:line="580" w:lineRule="exact"/>
        <w:ind w:firstLine="642"/>
        <w:textAlignment w:val="auto"/>
        <w:rPr>
          <w:rFonts w:hint="eastAsia" w:ascii="仿宋_GB2312" w:hAnsi="宋体" w:eastAsia="仿宋_GB2312" w:cs="宋体"/>
          <w:kern w:val="0"/>
          <w:sz w:val="32"/>
          <w:szCs w:val="32"/>
          <w:lang w:eastAsia="zh-CN"/>
        </w:rPr>
      </w:pPr>
      <w:r>
        <w:rPr>
          <w:rFonts w:hint="eastAsia" w:ascii="黑体" w:hAnsi="黑体" w:eastAsia="黑体" w:cs="黑体"/>
          <w:b/>
          <w:sz w:val="32"/>
          <w:szCs w:val="32"/>
          <w:lang w:val="en-US" w:eastAsia="zh-CN"/>
        </w:rPr>
        <w:t>第一条</w:t>
      </w:r>
      <w:r>
        <w:rPr>
          <w:rFonts w:hint="eastAsia" w:ascii="黑体" w:hAnsi="黑体" w:eastAsia="黑体" w:cs="黑体"/>
          <w:b/>
          <w:sz w:val="32"/>
          <w:szCs w:val="32"/>
        </w:rPr>
        <w:t>【制定</w:t>
      </w:r>
      <w:r>
        <w:rPr>
          <w:rFonts w:hint="eastAsia" w:ascii="黑体" w:hAnsi="黑体" w:eastAsia="黑体" w:cs="黑体"/>
          <w:b/>
          <w:sz w:val="32"/>
          <w:szCs w:val="32"/>
          <w:lang w:val="en-US" w:eastAsia="zh-CN"/>
        </w:rPr>
        <w:t>依据</w:t>
      </w:r>
      <w:r>
        <w:rPr>
          <w:rFonts w:hint="eastAsia" w:ascii="黑体" w:hAnsi="黑体" w:eastAsia="黑体" w:cs="黑体"/>
          <w:b/>
          <w:sz w:val="32"/>
          <w:szCs w:val="32"/>
        </w:rPr>
        <w:t>】</w:t>
      </w:r>
      <w:r>
        <w:rPr>
          <w:rFonts w:hint="eastAsia" w:ascii="黑体" w:hAnsi="黑体" w:eastAsia="黑体" w:cs="黑体"/>
          <w:b/>
          <w:sz w:val="32"/>
          <w:szCs w:val="32"/>
          <w:lang w:val="en-US" w:eastAsia="zh-CN"/>
        </w:rPr>
        <w:t xml:space="preserve">  </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建立归属清晰、权责明确、流转顺畅、监管有效的排污权环境资源配置制度</w:t>
      </w:r>
      <w:r>
        <w:rPr>
          <w:rFonts w:hint="eastAsia" w:ascii="仿宋_GB2312" w:hAnsi="仿宋_GB2312" w:eastAsia="仿宋_GB2312" w:cs="仿宋_GB2312"/>
          <w:color w:val="auto"/>
          <w:sz w:val="32"/>
          <w:szCs w:val="32"/>
          <w:lang w:val="en-US" w:eastAsia="zh-CN"/>
        </w:rPr>
        <w:t>，加强主要污染物排污权确权管理，</w:t>
      </w: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eastAsia="zh-CN"/>
        </w:rPr>
        <w:t>中共中央办公厅</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国务院办公厅关于深化生态保护补偿制度改革的意见》（中办发</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2021</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50号</w:t>
      </w:r>
      <w:r>
        <w:rPr>
          <w:rFonts w:hint="eastAsia" w:ascii="仿宋_GB2312" w:hAnsi="宋体" w:eastAsia="仿宋_GB2312" w:cs="宋体"/>
          <w:kern w:val="0"/>
          <w:sz w:val="32"/>
          <w:szCs w:val="32"/>
          <w:lang w:eastAsia="zh-CN"/>
        </w:rPr>
        <w:t>）等有关规定，</w:t>
      </w:r>
      <w:r>
        <w:rPr>
          <w:rFonts w:hint="eastAsia" w:ascii="仿宋_GB2312" w:hAnsi="宋体" w:eastAsia="仿宋_GB2312" w:cs="宋体"/>
          <w:kern w:val="0"/>
          <w:sz w:val="32"/>
          <w:szCs w:val="32"/>
        </w:rPr>
        <w:t>制定本</w:t>
      </w:r>
      <w:r>
        <w:rPr>
          <w:rFonts w:hint="eastAsia" w:ascii="仿宋_GB2312" w:hAnsi="宋体" w:eastAsia="仿宋_GB2312" w:cs="宋体"/>
          <w:kern w:val="0"/>
          <w:sz w:val="32"/>
          <w:szCs w:val="32"/>
          <w:lang w:eastAsia="zh-CN"/>
        </w:rPr>
        <w:t>办法</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黑体" w:eastAsia="黑体" w:cs="黑体"/>
          <w:b/>
          <w:sz w:val="32"/>
          <w:szCs w:val="32"/>
          <w:lang w:val="en-US" w:eastAsia="zh-CN"/>
        </w:rPr>
        <w:t>第二条【适用范围】</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本</w:t>
      </w:r>
      <w:r>
        <w:rPr>
          <w:rFonts w:hint="eastAsia" w:ascii="仿宋_GB2312" w:hAnsi="宋体" w:eastAsia="仿宋_GB2312" w:cs="宋体"/>
          <w:kern w:val="0"/>
          <w:sz w:val="32"/>
          <w:szCs w:val="32"/>
          <w:lang w:val="en-US" w:eastAsia="zh-CN"/>
        </w:rPr>
        <w:t>办法</w:t>
      </w:r>
      <w:r>
        <w:rPr>
          <w:rFonts w:hint="eastAsia" w:ascii="仿宋_GB2312" w:hAnsi="宋体" w:eastAsia="仿宋_GB2312" w:cs="宋体"/>
          <w:kern w:val="0"/>
          <w:sz w:val="32"/>
          <w:szCs w:val="32"/>
          <w:lang w:eastAsia="zh-CN"/>
        </w:rPr>
        <w:t>适用于本省行政区域内主要污染物排污权</w:t>
      </w:r>
      <w:r>
        <w:rPr>
          <w:rFonts w:hint="eastAsia" w:ascii="仿宋_GB2312" w:hAnsi="宋体" w:eastAsia="仿宋_GB2312" w:cs="宋体"/>
          <w:kern w:val="0"/>
          <w:sz w:val="32"/>
          <w:szCs w:val="32"/>
          <w:lang w:val="en-US" w:eastAsia="zh-CN"/>
        </w:rPr>
        <w:t>确权管理</w:t>
      </w:r>
      <w:r>
        <w:rPr>
          <w:rFonts w:hint="eastAsia" w:ascii="仿宋_GB2312" w:hAnsi="宋体" w:eastAsia="仿宋_GB2312" w:cs="宋体"/>
          <w:kern w:val="0"/>
          <w:sz w:val="32"/>
          <w:szCs w:val="32"/>
          <w:lang w:eastAsia="zh-CN"/>
        </w:rPr>
        <w:t>。</w:t>
      </w:r>
    </w:p>
    <w:p>
      <w:pPr>
        <w:pStyle w:val="4"/>
        <w:widowControl w:val="0"/>
        <w:wordWrap/>
        <w:adjustRightInd/>
        <w:snapToGrid/>
        <w:spacing w:line="580" w:lineRule="exact"/>
        <w:ind w:left="0" w:leftChars="0"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第三条【名词释义】  </w:t>
      </w:r>
      <w:r>
        <w:rPr>
          <w:rFonts w:hint="eastAsia" w:ascii="仿宋_GB2312" w:hAnsi="仿宋_GB2312" w:eastAsia="仿宋_GB2312" w:cs="仿宋_GB2312"/>
          <w:kern w:val="2"/>
          <w:sz w:val="32"/>
          <w:szCs w:val="32"/>
          <w:lang w:val="en-US" w:eastAsia="zh-CN" w:bidi="ar-SA"/>
        </w:rPr>
        <w:t>本办法所称主要污染物，是指国家和本省作为约束性指标进行总量控制的污染物。现阶段包括化学需氧量、氨氮、二氧化硫、氮氧化物四项污染物，适时将颗粒物和挥发性有机物等污染物纳入。</w:t>
      </w:r>
    </w:p>
    <w:p>
      <w:pPr>
        <w:pStyle w:val="3"/>
        <w:widowControl w:val="0"/>
        <w:wordWrap/>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kern w:val="0"/>
          <w:sz w:val="32"/>
          <w:szCs w:val="32"/>
          <w:lang w:val="en-US" w:eastAsia="zh-CN"/>
        </w:rPr>
        <w:t>本办法所称</w:t>
      </w:r>
      <w:r>
        <w:rPr>
          <w:rFonts w:hint="eastAsia" w:ascii="仿宋_GB2312" w:hAnsi="仿宋_GB2312" w:eastAsia="仿宋_GB2312" w:cs="仿宋_GB2312"/>
          <w:sz w:val="32"/>
          <w:szCs w:val="32"/>
          <w:lang w:val="en-US" w:eastAsia="zh-CN"/>
        </w:rPr>
        <w:t>排污权，是指排污单位按照国家或本省规定的污染物排放标准，以及污染物排放总量控制要求，向环境直接或间接排放一定种类和数量主要污染物的权利。</w:t>
      </w:r>
    </w:p>
    <w:p>
      <w:pPr>
        <w:widowControl w:val="0"/>
        <w:wordWrap/>
        <w:adjustRightInd/>
        <w:snapToGrid/>
        <w:spacing w:line="580" w:lineRule="exact"/>
        <w:ind w:firstLine="642"/>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本办法所称排污权确权，是指各级生态环境部门根据本办法核算方法和审核原则，对现有排污许可持证单位进行排污权审核、确认。</w:t>
      </w:r>
    </w:p>
    <w:p>
      <w:pPr>
        <w:widowControl w:val="0"/>
        <w:wordWrap/>
        <w:adjustRightInd/>
        <w:snapToGrid/>
        <w:spacing w:line="580" w:lineRule="exact"/>
        <w:ind w:firstLine="643" w:firstLineChars="200"/>
        <w:textAlignment w:val="auto"/>
        <w:rPr>
          <w:rFonts w:hint="eastAsia" w:ascii="仿宋_GB2312" w:hAnsi="宋体" w:eastAsia="仿宋_GB2312" w:cs="宋体"/>
          <w:kern w:val="0"/>
          <w:sz w:val="32"/>
          <w:szCs w:val="32"/>
        </w:rPr>
      </w:pPr>
      <w:r>
        <w:rPr>
          <w:rFonts w:hint="eastAsia" w:ascii="黑体" w:hAnsi="黑体" w:eastAsia="黑体" w:cs="黑体"/>
          <w:b/>
          <w:sz w:val="32"/>
          <w:szCs w:val="32"/>
          <w:lang w:val="en-US" w:eastAsia="zh-CN"/>
        </w:rPr>
        <w:t>第四条【遵循原则】</w:t>
      </w:r>
      <w:r>
        <w:rPr>
          <w:rFonts w:hint="eastAsia" w:ascii="仿宋_GB2312" w:hAnsi="仿宋" w:eastAsia="仿宋_GB2312"/>
          <w:b/>
          <w:bCs/>
          <w:color w:val="000000"/>
          <w:sz w:val="32"/>
          <w:szCs w:val="32"/>
          <w:lang w:val="en-US" w:eastAsia="zh-CN"/>
        </w:rPr>
        <w:t xml:space="preserve">  </w:t>
      </w:r>
      <w:r>
        <w:rPr>
          <w:rFonts w:hint="eastAsia" w:ascii="仿宋_GB2312" w:hAnsi="宋体" w:eastAsia="仿宋_GB2312" w:cs="宋体"/>
          <w:kern w:val="0"/>
          <w:sz w:val="32"/>
          <w:szCs w:val="32"/>
        </w:rPr>
        <w:t>排污权</w:t>
      </w:r>
      <w:r>
        <w:rPr>
          <w:rFonts w:hint="eastAsia" w:ascii="仿宋_GB2312" w:hAnsi="宋体" w:eastAsia="仿宋_GB2312" w:cs="宋体"/>
          <w:kern w:val="0"/>
          <w:sz w:val="32"/>
          <w:szCs w:val="32"/>
          <w:lang w:val="en-US" w:eastAsia="zh-CN"/>
        </w:rPr>
        <w:t>确权</w:t>
      </w:r>
      <w:r>
        <w:rPr>
          <w:rFonts w:hint="eastAsia" w:ascii="仿宋_GB2312" w:hAnsi="仿宋_GB2312" w:eastAsia="仿宋_GB2312" w:cs="仿宋_GB2312"/>
          <w:sz w:val="32"/>
          <w:szCs w:val="32"/>
          <w:lang w:val="en-US" w:eastAsia="zh-CN"/>
        </w:rPr>
        <w:t>以排污许可证为基础和载体，遵循</w:t>
      </w:r>
      <w:r>
        <w:rPr>
          <w:rFonts w:hint="eastAsia" w:ascii="仿宋_GB2312" w:hAnsi="宋体" w:eastAsia="仿宋_GB2312" w:cs="宋体"/>
          <w:kern w:val="0"/>
          <w:sz w:val="32"/>
          <w:szCs w:val="32"/>
        </w:rPr>
        <w:t>公平</w:t>
      </w:r>
      <w:r>
        <w:rPr>
          <w:rFonts w:hint="eastAsia" w:ascii="仿宋_GB2312" w:hAnsi="宋体" w:eastAsia="仿宋_GB2312" w:cs="宋体"/>
          <w:kern w:val="0"/>
          <w:sz w:val="32"/>
          <w:szCs w:val="32"/>
          <w:lang w:eastAsia="zh-CN"/>
        </w:rPr>
        <w:t>、公正、</w:t>
      </w:r>
      <w:r>
        <w:rPr>
          <w:rFonts w:hint="eastAsia" w:ascii="仿宋_GB2312" w:hAnsi="宋体" w:eastAsia="仿宋_GB2312" w:cs="宋体"/>
          <w:kern w:val="0"/>
          <w:sz w:val="32"/>
          <w:szCs w:val="32"/>
        </w:rPr>
        <w:t>公</w:t>
      </w:r>
      <w:r>
        <w:rPr>
          <w:rFonts w:hint="eastAsia" w:ascii="仿宋_GB2312" w:hAnsi="宋体" w:eastAsia="仿宋_GB2312" w:cs="宋体"/>
          <w:kern w:val="0"/>
          <w:sz w:val="32"/>
          <w:szCs w:val="32"/>
          <w:lang w:val="en-US" w:eastAsia="zh-CN"/>
        </w:rPr>
        <w:t>开和</w:t>
      </w:r>
      <w:r>
        <w:rPr>
          <w:rFonts w:hint="eastAsia" w:ascii="仿宋_GB2312" w:hAnsi="宋体" w:eastAsia="仿宋_GB2312" w:cs="宋体"/>
          <w:kern w:val="0"/>
          <w:sz w:val="32"/>
          <w:szCs w:val="32"/>
        </w:rPr>
        <w:t>有利于</w:t>
      </w:r>
      <w:r>
        <w:rPr>
          <w:rFonts w:hint="eastAsia" w:ascii="仿宋_GB2312" w:hAnsi="宋体" w:eastAsia="仿宋_GB2312" w:cs="宋体"/>
          <w:kern w:val="0"/>
          <w:sz w:val="32"/>
          <w:szCs w:val="32"/>
          <w:lang w:eastAsia="zh-CN"/>
        </w:rPr>
        <w:t>生态</w:t>
      </w:r>
      <w:r>
        <w:rPr>
          <w:rFonts w:hint="eastAsia" w:ascii="仿宋_GB2312" w:hAnsi="宋体" w:eastAsia="仿宋_GB2312" w:cs="宋体"/>
          <w:kern w:val="0"/>
          <w:sz w:val="32"/>
          <w:szCs w:val="32"/>
        </w:rPr>
        <w:t>环境质量改善的原则。</w:t>
      </w:r>
    </w:p>
    <w:p>
      <w:pPr>
        <w:pStyle w:val="2"/>
        <w:widowControl w:val="0"/>
        <w:wordWrap/>
        <w:adjustRightInd/>
        <w:snapToGrid/>
        <w:spacing w:before="0" w:beforeLines="0" w:after="0" w:afterLines="0" w:line="580" w:lineRule="exact"/>
        <w:ind w:firstLine="643" w:firstLineChars="200"/>
        <w:textAlignment w:val="auto"/>
        <w:rPr>
          <w:rFonts w:hint="eastAsia" w:ascii="仿宋_GB2312" w:hAnsi="宋体" w:eastAsia="仿宋_GB2312" w:cs="宋体"/>
          <w:b w:val="0"/>
          <w:bCs w:val="0"/>
          <w:kern w:val="0"/>
          <w:sz w:val="32"/>
          <w:szCs w:val="32"/>
          <w:lang w:val="en-US" w:eastAsia="zh-CN" w:bidi="ar-SA"/>
        </w:rPr>
      </w:pPr>
      <w:r>
        <w:rPr>
          <w:rFonts w:hint="eastAsia" w:ascii="黑体" w:hAnsi="黑体" w:eastAsia="黑体" w:cs="黑体"/>
          <w:b/>
          <w:bCs/>
          <w:kern w:val="0"/>
          <w:sz w:val="32"/>
          <w:szCs w:val="32"/>
          <w:lang w:val="en-US" w:eastAsia="zh-CN" w:bidi="ar-SA"/>
        </w:rPr>
        <w:t>第五条</w:t>
      </w:r>
      <w:r>
        <w:rPr>
          <w:rFonts w:hint="eastAsia" w:ascii="黑体" w:hAnsi="黑体" w:eastAsia="黑体" w:cs="黑体"/>
          <w:b/>
          <w:bCs/>
          <w:sz w:val="32"/>
          <w:szCs w:val="32"/>
          <w:lang w:val="en-US" w:eastAsia="zh-CN"/>
        </w:rPr>
        <w:t>【</w:t>
      </w:r>
      <w:r>
        <w:rPr>
          <w:rFonts w:hint="eastAsia" w:ascii="黑体" w:hAnsi="黑体" w:cs="黑体"/>
          <w:b/>
          <w:bCs/>
          <w:sz w:val="32"/>
          <w:szCs w:val="32"/>
          <w:lang w:val="en-US" w:eastAsia="zh-CN"/>
        </w:rPr>
        <w:t>确权频次</w:t>
      </w:r>
      <w:r>
        <w:rPr>
          <w:rFonts w:hint="eastAsia" w:ascii="黑体" w:hAnsi="黑体" w:eastAsia="黑体" w:cs="黑体"/>
          <w:b/>
          <w:bCs/>
          <w:sz w:val="32"/>
          <w:szCs w:val="32"/>
          <w:lang w:val="en-US" w:eastAsia="zh-CN"/>
        </w:rPr>
        <w:t>】</w:t>
      </w:r>
      <w:r>
        <w:rPr>
          <w:rFonts w:hint="eastAsia" w:ascii="黑体" w:hAnsi="黑体" w:cs="黑体"/>
          <w:b/>
          <w:bCs/>
          <w:sz w:val="32"/>
          <w:szCs w:val="32"/>
          <w:lang w:val="en-US" w:eastAsia="zh-CN"/>
        </w:rPr>
        <w:t xml:space="preserve">  </w:t>
      </w:r>
      <w:r>
        <w:rPr>
          <w:rFonts w:hint="eastAsia" w:ascii="仿宋_GB2312" w:hAnsi="宋体" w:eastAsia="仿宋_GB2312" w:cs="宋体"/>
          <w:b w:val="0"/>
          <w:bCs w:val="0"/>
          <w:kern w:val="0"/>
          <w:sz w:val="32"/>
          <w:szCs w:val="32"/>
          <w:lang w:val="en-US" w:eastAsia="zh-CN" w:bidi="ar-SA"/>
        </w:rPr>
        <w:t>排污权首次确权有效期为5年，之后与国民经济和社会发展规划终期年份保持一致。</w:t>
      </w:r>
    </w:p>
    <w:p>
      <w:pPr>
        <w:widowControl w:val="0"/>
        <w:numPr>
          <w:ilvl w:val="0"/>
          <w:numId w:val="0"/>
        </w:numPr>
        <w:tabs>
          <w:tab w:val="left" w:pos="0"/>
        </w:tabs>
        <w:wordWrap/>
        <w:adjustRightInd/>
        <w:snapToGrid/>
        <w:spacing w:line="580" w:lineRule="exact"/>
        <w:ind w:firstLine="642"/>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sz w:val="32"/>
          <w:szCs w:val="32"/>
          <w:lang w:val="en-US" w:eastAsia="zh-CN"/>
        </w:rPr>
        <w:t>第六条【分级管理】</w:t>
      </w:r>
      <w:r>
        <w:rPr>
          <w:rFonts w:hint="eastAsia" w:ascii="仿宋_GB2312" w:hAnsi="仿宋" w:eastAsia="仿宋_GB2312"/>
          <w:b/>
          <w:bCs/>
          <w:color w:val="000000"/>
          <w:sz w:val="32"/>
          <w:szCs w:val="32"/>
          <w:lang w:val="en-US" w:eastAsia="zh-CN"/>
        </w:rPr>
        <w:t xml:space="preserve">  </w:t>
      </w:r>
      <w:r>
        <w:rPr>
          <w:rFonts w:hint="eastAsia" w:ascii="仿宋_GB2312" w:hAnsi="仿宋_GB2312" w:eastAsia="仿宋_GB2312" w:cs="仿宋_GB2312"/>
          <w:sz w:val="32"/>
          <w:szCs w:val="32"/>
          <w:lang w:val="en-US" w:eastAsia="zh-CN"/>
        </w:rPr>
        <w:t>排污权确权实行县级初审、市级审核、省级审定，由各级生态环境部门排污权交易管理机构负责具体实施。</w:t>
      </w:r>
    </w:p>
    <w:p>
      <w:pPr>
        <w:pStyle w:val="2"/>
        <w:widowControl w:val="0"/>
        <w:wordWrap/>
        <w:adjustRightInd/>
        <w:snapToGrid/>
        <w:spacing w:before="0" w:beforeLines="0" w:after="0" w:afterLines="0" w:line="360" w:lineRule="auto"/>
        <w:jc w:val="center"/>
        <w:textAlignment w:val="auto"/>
        <w:rPr>
          <w:rFonts w:hint="eastAsia" w:ascii="仿宋_GB2312" w:hAnsi="仿宋_GB2312" w:eastAsia="仿宋_GB2312" w:cs="仿宋_GB2312"/>
          <w:b w:val="0"/>
          <w:bCs w:val="0"/>
          <w:kern w:val="2"/>
          <w:sz w:val="32"/>
          <w:szCs w:val="32"/>
          <w:lang w:val="en-US" w:eastAsia="zh-CN" w:bidi="ar-SA"/>
        </w:rPr>
      </w:pP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第二章  确权程序</w:t>
      </w:r>
    </w:p>
    <w:p>
      <w:pPr>
        <w:widowControl w:val="0"/>
        <w:wordWrap/>
        <w:adjustRightInd/>
        <w:snapToGrid/>
        <w:spacing w:line="360" w:lineRule="auto"/>
        <w:jc w:val="center"/>
        <w:textAlignment w:val="auto"/>
        <w:rPr>
          <w:rFonts w:hint="eastAsia" w:ascii="黑体" w:hAnsi="黑体" w:eastAsia="黑体" w:cs="黑体"/>
          <w:b/>
          <w:sz w:val="32"/>
          <w:szCs w:val="32"/>
          <w:lang w:val="en-US" w:eastAsia="zh-CN"/>
        </w:rPr>
      </w:pPr>
    </w:p>
    <w:p>
      <w:pPr>
        <w:widowControl w:val="0"/>
        <w:numPr>
          <w:ilvl w:val="0"/>
          <w:numId w:val="0"/>
        </w:numPr>
        <w:tabs>
          <w:tab w:val="left" w:pos="0"/>
        </w:tabs>
        <w:wordWrap/>
        <w:adjustRightInd/>
        <w:snapToGrid/>
        <w:spacing w:line="580" w:lineRule="exact"/>
        <w:ind w:firstLine="642"/>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第七条【制定方案】  </w:t>
      </w:r>
      <w:r>
        <w:rPr>
          <w:rFonts w:hint="eastAsia" w:ascii="仿宋_GB2312" w:hAnsi="宋体" w:eastAsia="仿宋_GB2312" w:cs="宋体"/>
          <w:kern w:val="0"/>
          <w:sz w:val="32"/>
          <w:szCs w:val="32"/>
        </w:rPr>
        <w:t>省生态环境</w:t>
      </w:r>
      <w:r>
        <w:rPr>
          <w:rFonts w:hint="eastAsia" w:ascii="仿宋_GB2312" w:hAnsi="宋体" w:eastAsia="仿宋_GB2312" w:cs="宋体"/>
          <w:kern w:val="0"/>
          <w:sz w:val="32"/>
          <w:szCs w:val="32"/>
          <w:lang w:val="en-US" w:eastAsia="zh-CN"/>
        </w:rPr>
        <w:t>部门依据全省总量控制和生态环境质量改善等要求，制定</w:t>
      </w:r>
      <w:r>
        <w:rPr>
          <w:rFonts w:hint="eastAsia" w:ascii="仿宋_GB2312" w:hAnsi="仿宋_GB2312" w:eastAsia="仿宋_GB2312" w:cs="仿宋_GB2312"/>
          <w:sz w:val="32"/>
          <w:szCs w:val="32"/>
          <w:lang w:val="en-US" w:eastAsia="zh-CN"/>
        </w:rPr>
        <w:t>排污权确权工作方案，明确工作内容、实施步骤、时限节点和技术要求。</w:t>
      </w:r>
    </w:p>
    <w:p>
      <w:pPr>
        <w:widowControl w:val="0"/>
        <w:numPr>
          <w:ilvl w:val="0"/>
          <w:numId w:val="0"/>
        </w:numPr>
        <w:wordWrap/>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sz w:val="32"/>
          <w:szCs w:val="32"/>
          <w:lang w:val="en-US" w:eastAsia="zh-CN"/>
        </w:rPr>
        <w:t xml:space="preserve">第八条【安排部署】  </w:t>
      </w:r>
      <w:r>
        <w:rPr>
          <w:rFonts w:hint="eastAsia" w:ascii="仿宋_GB2312" w:hAnsi="仿宋_GB2312" w:eastAsia="仿宋_GB2312" w:cs="仿宋_GB2312"/>
          <w:color w:val="auto"/>
          <w:sz w:val="32"/>
          <w:szCs w:val="32"/>
          <w:lang w:val="en-US" w:eastAsia="zh-CN"/>
        </w:rPr>
        <w:t>市、县生态环境部门对照辖区排污许可管理台账，以及排污权交易情况，组织对排污单位排污权进行核算和初审。</w:t>
      </w:r>
    </w:p>
    <w:p>
      <w:pPr>
        <w:widowControl w:val="0"/>
        <w:numPr>
          <w:ilvl w:val="0"/>
          <w:numId w:val="0"/>
        </w:numPr>
        <w:wordWrap/>
        <w:adjustRightInd/>
        <w:snapToGrid/>
        <w:spacing w:line="580" w:lineRule="exact"/>
        <w:ind w:firstLine="643" w:firstLineChars="200"/>
        <w:jc w:val="both"/>
        <w:textAlignment w:val="auto"/>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第九条【申请初审】  </w:t>
      </w:r>
      <w:r>
        <w:rPr>
          <w:rFonts w:hint="eastAsia" w:ascii="仿宋_GB2312" w:hAnsi="仿宋_GB2312" w:eastAsia="仿宋_GB2312" w:cs="仿宋_GB2312"/>
          <w:color w:val="auto"/>
          <w:sz w:val="32"/>
          <w:szCs w:val="32"/>
          <w:lang w:val="en-US" w:eastAsia="zh-CN"/>
        </w:rPr>
        <w:t>排污单位应按照相关确权技术要求，自行或委托第三方机构计算主要污染物排污权，向县生态环境部门申请初审。</w:t>
      </w:r>
    </w:p>
    <w:p>
      <w:pPr>
        <w:widowControl w:val="0"/>
        <w:numPr>
          <w:ilvl w:val="0"/>
          <w:numId w:val="0"/>
        </w:numPr>
        <w:wordWrap/>
        <w:adjustRightInd/>
        <w:snapToGrid/>
        <w:spacing w:line="58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sz w:val="32"/>
          <w:szCs w:val="32"/>
          <w:lang w:val="en-US" w:eastAsia="zh-CN"/>
        </w:rPr>
        <w:t xml:space="preserve">第十条【确权初审】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sz w:val="32"/>
          <w:szCs w:val="32"/>
          <w:lang w:val="en-US" w:eastAsia="zh-CN"/>
        </w:rPr>
        <w:t>生态环境部门</w:t>
      </w:r>
      <w:r>
        <w:rPr>
          <w:rFonts w:hint="eastAsia" w:ascii="仿宋_GB2312" w:hAnsi="仿宋_GB2312" w:eastAsia="仿宋_GB2312" w:cs="仿宋_GB2312"/>
          <w:sz w:val="32"/>
          <w:szCs w:val="32"/>
          <w:lang w:eastAsia="zh-CN"/>
        </w:rPr>
        <w:t>根据排污许可情况，</w:t>
      </w:r>
      <w:r>
        <w:rPr>
          <w:rFonts w:hint="eastAsia" w:ascii="仿宋_GB2312" w:hAnsi="仿宋_GB2312" w:eastAsia="仿宋_GB2312" w:cs="仿宋_GB2312"/>
          <w:sz w:val="32"/>
          <w:szCs w:val="32"/>
        </w:rPr>
        <w:t>结合日常检查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现场核实等，</w:t>
      </w:r>
      <w:r>
        <w:rPr>
          <w:rFonts w:hint="eastAsia" w:ascii="仿宋_GB2312" w:hAnsi="仿宋_GB2312" w:eastAsia="仿宋_GB2312" w:cs="仿宋_GB2312"/>
          <w:sz w:val="32"/>
          <w:szCs w:val="32"/>
          <w:lang w:eastAsia="zh-CN"/>
        </w:rPr>
        <w:t>或者委托第三方机构，</w:t>
      </w:r>
      <w:r>
        <w:rPr>
          <w:rFonts w:hint="eastAsia" w:ascii="仿宋_GB2312" w:hAnsi="仿宋_GB2312" w:eastAsia="仿宋_GB2312" w:cs="仿宋_GB2312"/>
          <w:sz w:val="32"/>
          <w:szCs w:val="32"/>
        </w:rPr>
        <w:t>对排污单位</w:t>
      </w:r>
      <w:r>
        <w:rPr>
          <w:rFonts w:hint="eastAsia" w:ascii="仿宋_GB2312" w:hAnsi="仿宋_GB2312" w:eastAsia="仿宋_GB2312" w:cs="仿宋_GB2312"/>
          <w:sz w:val="32"/>
          <w:szCs w:val="32"/>
          <w:lang w:eastAsia="zh-CN"/>
        </w:rPr>
        <w:t>排污权进行初审，</w:t>
      </w:r>
      <w:r>
        <w:rPr>
          <w:rFonts w:hint="eastAsia" w:ascii="仿宋_GB2312" w:hAnsi="仿宋_GB2312" w:eastAsia="仿宋_GB2312" w:cs="仿宋_GB2312"/>
          <w:sz w:val="32"/>
          <w:szCs w:val="32"/>
          <w:lang w:val="en-US" w:eastAsia="zh-CN"/>
        </w:rPr>
        <w:t>初审结果</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lang w:val="en-US" w:eastAsia="zh-CN"/>
        </w:rPr>
        <w:t>市生态环境</w:t>
      </w:r>
      <w:r>
        <w:rPr>
          <w:rFonts w:hint="eastAsia" w:ascii="仿宋_GB2312" w:hAnsi="仿宋_GB2312" w:eastAsia="仿宋_GB2312" w:cs="仿宋_GB2312"/>
          <w:sz w:val="32"/>
          <w:szCs w:val="32"/>
          <w:lang w:eastAsia="zh-CN"/>
        </w:rPr>
        <w:t>部门审核。</w:t>
      </w:r>
    </w:p>
    <w:p>
      <w:pPr>
        <w:pStyle w:val="7"/>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80"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黑体" w:hAnsi="黑体" w:eastAsia="黑体" w:cs="黑体"/>
          <w:b/>
          <w:sz w:val="32"/>
          <w:szCs w:val="32"/>
          <w:lang w:val="en-US" w:eastAsia="zh-CN"/>
        </w:rPr>
        <w:t xml:space="preserve">第十一条【确权审核】  </w:t>
      </w:r>
      <w:r>
        <w:rPr>
          <w:rFonts w:hint="eastAsia" w:ascii="仿宋_GB2312" w:hAnsi="仿宋_GB2312" w:eastAsia="仿宋_GB2312" w:cs="仿宋_GB2312"/>
          <w:color w:val="auto"/>
          <w:kern w:val="2"/>
          <w:sz w:val="32"/>
          <w:szCs w:val="32"/>
          <w:lang w:val="en-US" w:eastAsia="zh-CN"/>
        </w:rPr>
        <w:t>市生态环境部门对</w:t>
      </w:r>
      <w:r>
        <w:rPr>
          <w:rFonts w:hint="eastAsia" w:ascii="仿宋_GB2312" w:hAnsi="仿宋_GB2312" w:eastAsia="仿宋_GB2312" w:cs="仿宋_GB2312"/>
          <w:color w:val="auto"/>
          <w:sz w:val="32"/>
          <w:szCs w:val="32"/>
          <w:lang w:val="en-US" w:eastAsia="zh-CN"/>
        </w:rPr>
        <w:t>县生态环境部门排污权初审结果进行审核，</w:t>
      </w:r>
      <w:r>
        <w:rPr>
          <w:rFonts w:hint="eastAsia" w:ascii="仿宋_GB2312" w:hAnsi="仿宋_GB2312" w:eastAsia="仿宋_GB2312" w:cs="仿宋_GB2312"/>
          <w:color w:val="auto"/>
          <w:kern w:val="2"/>
          <w:sz w:val="32"/>
          <w:szCs w:val="32"/>
          <w:lang w:val="en-US" w:eastAsia="zh-CN"/>
        </w:rPr>
        <w:t>审核结果上报省生态环境部门。</w:t>
      </w:r>
    </w:p>
    <w:p>
      <w:pPr>
        <w:widowControl w:val="0"/>
        <w:numPr>
          <w:ilvl w:val="0"/>
          <w:numId w:val="0"/>
        </w:numPr>
        <w:wordWrap/>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sz w:val="32"/>
          <w:szCs w:val="32"/>
          <w:lang w:val="en-US" w:eastAsia="zh-CN"/>
        </w:rPr>
        <w:t>第十二条【核定公示发证】</w:t>
      </w:r>
      <w:r>
        <w:rPr>
          <w:rFonts w:hint="eastAsia" w:ascii="仿宋_GB2312" w:hAnsi="宋体" w:eastAsia="仿宋_GB2312" w:cs="宋体"/>
          <w:kern w:val="0"/>
          <w:sz w:val="32"/>
          <w:szCs w:val="32"/>
          <w:lang w:val="en-US" w:eastAsia="zh-CN"/>
        </w:rPr>
        <w:t xml:space="preserve">  省生态环境部门</w:t>
      </w:r>
      <w:r>
        <w:rPr>
          <w:rFonts w:hint="eastAsia" w:ascii="仿宋_GB2312" w:hAnsi="仿宋_GB2312" w:eastAsia="仿宋_GB2312" w:cs="仿宋_GB2312"/>
          <w:sz w:val="32"/>
          <w:szCs w:val="32"/>
          <w:lang w:val="en-US" w:eastAsia="zh-CN"/>
        </w:rPr>
        <w:t>依据国家总量控制、生态环境质量改善等要求，对市级审核结果进行核定，核定结果进行公示，公示期为5个工作日。公示结果无异议的，按程序发放确权凭证。</w:t>
      </w:r>
    </w:p>
    <w:p>
      <w:pPr>
        <w:widowControl w:val="0"/>
        <w:numPr>
          <w:ilvl w:val="0"/>
          <w:numId w:val="0"/>
        </w:numPr>
        <w:wordWrap/>
        <w:adjustRightInd/>
        <w:snapToGrid/>
        <w:spacing w:line="580" w:lineRule="exact"/>
        <w:ind w:firstLine="643" w:firstLineChars="200"/>
        <w:jc w:val="both"/>
        <w:textAlignment w:val="auto"/>
        <w:rPr>
          <w:rFonts w:hint="eastAsia" w:ascii="仿宋_GB2312" w:hAnsi="宋体" w:eastAsia="仿宋_GB2312" w:cs="宋体"/>
          <w:kern w:val="0"/>
          <w:sz w:val="32"/>
          <w:szCs w:val="32"/>
          <w:lang w:val="en-US" w:eastAsia="zh-CN"/>
        </w:rPr>
      </w:pPr>
      <w:r>
        <w:rPr>
          <w:rFonts w:hint="eastAsia" w:ascii="黑体" w:hAnsi="黑体" w:eastAsia="黑体" w:cs="黑体"/>
          <w:b/>
          <w:sz w:val="32"/>
          <w:szCs w:val="32"/>
          <w:lang w:val="en-US" w:eastAsia="zh-CN"/>
        </w:rPr>
        <w:t>第十三条【确权凭证】</w:t>
      </w:r>
      <w:r>
        <w:rPr>
          <w:rFonts w:hint="eastAsia" w:ascii="黑体" w:hAnsi="黑体" w:eastAsia="黑体" w:cs="黑体"/>
          <w:b/>
          <w:color w:val="0000FF"/>
          <w:kern w:val="2"/>
          <w:sz w:val="32"/>
          <w:szCs w:val="32"/>
          <w:lang w:val="en-US" w:eastAsia="zh-CN" w:bidi="ar-SA"/>
        </w:rPr>
        <w:t xml:space="preserve">  </w:t>
      </w:r>
      <w:r>
        <w:rPr>
          <w:rFonts w:hint="eastAsia" w:ascii="仿宋_GB2312" w:hAnsi="宋体" w:eastAsia="仿宋_GB2312" w:cs="宋体"/>
          <w:kern w:val="0"/>
          <w:sz w:val="32"/>
          <w:szCs w:val="32"/>
          <w:lang w:val="en-US" w:eastAsia="zh-CN"/>
        </w:rPr>
        <w:t>省生态环境部门制定主要污染物排污权确权凭证样式。确权凭证载明排污单位确权量、确权时间、排污权期限等内容。</w:t>
      </w: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第三章  确权技术要求</w:t>
      </w:r>
    </w:p>
    <w:p>
      <w:pPr>
        <w:pStyle w:val="3"/>
        <w:widowControl w:val="0"/>
        <w:wordWrap/>
        <w:adjustRightInd/>
        <w:snapToGrid/>
        <w:spacing w:line="360" w:lineRule="auto"/>
        <w:jc w:val="center"/>
        <w:textAlignment w:val="auto"/>
        <w:rPr>
          <w:rFonts w:hint="eastAsia"/>
          <w:sz w:val="32"/>
          <w:szCs w:val="32"/>
          <w:lang w:val="en-US" w:eastAsia="zh-CN"/>
        </w:rPr>
      </w:pPr>
    </w:p>
    <w:p>
      <w:pPr>
        <w:widowControl w:val="0"/>
        <w:numPr>
          <w:ilvl w:val="0"/>
          <w:numId w:val="0"/>
        </w:numPr>
        <w:wordWrap/>
        <w:adjustRightInd/>
        <w:snapToGrid/>
        <w:spacing w:line="580" w:lineRule="exact"/>
        <w:ind w:firstLine="643" w:firstLineChars="200"/>
        <w:textAlignment w:val="auto"/>
        <w:rPr>
          <w:rFonts w:hint="eastAsia" w:ascii="仿宋_GB2312" w:eastAsia="仿宋_GB2312"/>
          <w:color w:val="auto"/>
          <w:sz w:val="32"/>
          <w:szCs w:val="32"/>
          <w:lang w:val="en-US" w:eastAsia="zh-CN"/>
        </w:rPr>
      </w:pPr>
      <w:r>
        <w:rPr>
          <w:rFonts w:hint="eastAsia" w:ascii="黑体" w:hAnsi="黑体" w:eastAsia="黑体" w:cs="黑体"/>
          <w:b/>
          <w:sz w:val="32"/>
          <w:szCs w:val="32"/>
          <w:lang w:val="en-US" w:eastAsia="zh-CN"/>
        </w:rPr>
        <w:t xml:space="preserve">第十四条【确权要求】  </w:t>
      </w:r>
      <w:r>
        <w:rPr>
          <w:rFonts w:hint="eastAsia" w:ascii="仿宋_GB2312" w:eastAsia="仿宋_GB2312"/>
          <w:color w:val="auto"/>
          <w:sz w:val="32"/>
          <w:szCs w:val="32"/>
          <w:lang w:val="en-US" w:eastAsia="zh-CN"/>
        </w:rPr>
        <w:t>排污权确权应覆盖纳入排污许可管理的全部有组织排放口（主要排放口、一般排放口），确权结果以吨/年为单位，小数点后保留三位有效数字。</w:t>
      </w:r>
    </w:p>
    <w:p>
      <w:pPr>
        <w:widowControl w:val="0"/>
        <w:numPr>
          <w:ilvl w:val="0"/>
          <w:numId w:val="0"/>
        </w:numPr>
        <w:wordWrap/>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b/>
          <w:sz w:val="32"/>
          <w:szCs w:val="32"/>
          <w:lang w:val="en-US" w:eastAsia="zh-CN"/>
        </w:rPr>
        <w:t xml:space="preserve">第十五条【计算要求】  </w:t>
      </w:r>
      <w:r>
        <w:rPr>
          <w:rFonts w:hint="eastAsia" w:ascii="仿宋_GB2312" w:eastAsia="仿宋_GB2312"/>
          <w:color w:val="auto"/>
          <w:sz w:val="32"/>
          <w:szCs w:val="32"/>
          <w:lang w:val="en-US" w:eastAsia="zh-CN"/>
        </w:rPr>
        <w:t>排污权计算应符合以下要求：</w:t>
      </w:r>
    </w:p>
    <w:p>
      <w:pPr>
        <w:widowControl/>
        <w:numPr>
          <w:ilvl w:val="0"/>
          <w:numId w:val="1"/>
        </w:numPr>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依据国家、省及地方现行排放管理要求，计算排污单位各排污口污染物排放量。排污口</w:t>
      </w:r>
      <w:r>
        <w:rPr>
          <w:rFonts w:hint="eastAsia" w:ascii="仿宋_GB2312" w:hAnsi="仿宋_GB2312" w:eastAsia="仿宋_GB2312" w:cs="仿宋_GB2312"/>
          <w:sz w:val="32"/>
          <w:szCs w:val="32"/>
        </w:rPr>
        <w:t>仅排放间接冷却水的，化学需氧</w:t>
      </w:r>
      <w:r>
        <w:rPr>
          <w:rFonts w:hint="eastAsia" w:ascii="仿宋_GB2312" w:hAnsi="仿宋_GB2312" w:eastAsia="仿宋_GB2312" w:cs="仿宋_GB2312"/>
          <w:sz w:val="32"/>
          <w:szCs w:val="32"/>
          <w:lang w:eastAsia="zh-CN"/>
        </w:rPr>
        <w:t>量</w:t>
      </w:r>
      <w:r>
        <w:rPr>
          <w:rFonts w:hint="eastAsia" w:ascii="仿宋_GB2312" w:hAnsi="仿宋_GB2312" w:eastAsia="仿宋_GB2312" w:cs="仿宋_GB2312"/>
          <w:sz w:val="32"/>
          <w:szCs w:val="32"/>
        </w:rPr>
        <w:t>、氨氮两项污染物</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废水排入污水集中处理设施的，按照其排放废水量和污水集中处理设施执行的排放浓度标准计算。</w:t>
      </w:r>
    </w:p>
    <w:p>
      <w:pPr>
        <w:widowControl w:val="0"/>
        <w:numPr>
          <w:ilvl w:val="0"/>
          <w:numId w:val="0"/>
        </w:numPr>
        <w:wordWrap/>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sz w:val="32"/>
          <w:szCs w:val="32"/>
          <w:lang w:val="en-US" w:eastAsia="zh-CN"/>
        </w:rPr>
        <w:t>有偿和无偿取得排污权并存的，应明确有偿和无偿取得排污权对应的生产装备、排污口，分别进行计算。</w:t>
      </w:r>
    </w:p>
    <w:p>
      <w:pPr>
        <w:widowControl/>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（三）排污单位</w:t>
      </w:r>
      <w:r>
        <w:rPr>
          <w:rFonts w:hint="eastAsia" w:ascii="仿宋_GB2312" w:hAnsi="仿宋_GB2312" w:eastAsia="仿宋_GB2312" w:cs="仿宋_GB2312"/>
          <w:color w:val="auto"/>
          <w:sz w:val="32"/>
          <w:szCs w:val="32"/>
          <w:lang w:val="en-US" w:eastAsia="zh-CN"/>
        </w:rPr>
        <w:t>有偿取得排污权全部予以认可，须提供交易合同、交易鉴证、出让金缴纳票据；</w:t>
      </w:r>
      <w:r>
        <w:rPr>
          <w:rFonts w:hint="eastAsia" w:ascii="仿宋_GB2312" w:hAnsi="仿宋_GB2312" w:eastAsia="仿宋_GB2312" w:cs="仿宋_GB2312"/>
          <w:sz w:val="32"/>
          <w:szCs w:val="32"/>
          <w:lang w:val="en-US" w:eastAsia="zh-CN"/>
        </w:rPr>
        <w:t>无偿取得排污权超过计算量部分，不予认可。</w:t>
      </w:r>
    </w:p>
    <w:p>
      <w:pPr>
        <w:pStyle w:val="4"/>
        <w:wordWrap/>
        <w:adjustRightInd/>
        <w:snapToGrid/>
        <w:spacing w:line="58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sz w:val="32"/>
          <w:szCs w:val="32"/>
          <w:lang w:val="en-US" w:eastAsia="zh-CN"/>
        </w:rPr>
        <w:t>第十六条【暂不确权】</w:t>
      </w:r>
      <w:r>
        <w:rPr>
          <w:rFonts w:hint="eastAsia" w:ascii="仿宋_GB2312" w:hAnsi="宋体" w:eastAsia="仿宋_GB2312" w:cs="宋体"/>
          <w:kern w:val="0"/>
          <w:sz w:val="32"/>
          <w:szCs w:val="32"/>
          <w:lang w:val="en-US" w:eastAsia="zh-CN"/>
        </w:rPr>
        <w:t xml:space="preserve">  存在以下情形的，暂缓或暂不确权：</w:t>
      </w:r>
    </w:p>
    <w:p>
      <w:pPr>
        <w:widowControl w:val="0"/>
        <w:numPr>
          <w:ilvl w:val="0"/>
          <w:numId w:val="0"/>
        </w:numPr>
        <w:wordWrap/>
        <w:adjustRightInd/>
        <w:snapToGrid/>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（一）许可事项不清楚或按照生态环境部《关于固定污染源排污限期整改有关事项的通知》应限期整改的，暂缓确权。</w:t>
      </w:r>
    </w:p>
    <w:p>
      <w:pPr>
        <w:pStyle w:val="3"/>
        <w:widowControl w:val="0"/>
        <w:wordWrap/>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val="en-US" w:eastAsia="zh-CN"/>
        </w:rPr>
        <w:t>（二）</w:t>
      </w:r>
      <w:r>
        <w:rPr>
          <w:rFonts w:hint="eastAsia" w:ascii="仿宋_GB2312" w:hAnsi="仿宋_GB2312" w:eastAsia="仿宋_GB2312" w:cs="仿宋_GB2312"/>
          <w:color w:val="auto"/>
          <w:sz w:val="32"/>
          <w:szCs w:val="32"/>
          <w:lang w:val="en-US" w:eastAsia="zh-CN"/>
        </w:rPr>
        <w:t>须通过有偿方式取得排污权、但未缴纳出让金的，暂缓确权。</w:t>
      </w:r>
    </w:p>
    <w:p>
      <w:pPr>
        <w:pStyle w:val="4"/>
        <w:wordWrap/>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（三）城镇污水处理厂、园区污水处理厂等污水集中处理设施暂不确权；</w:t>
      </w:r>
    </w:p>
    <w:p>
      <w:pPr>
        <w:pStyle w:val="3"/>
        <w:wordWrap/>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（四）单项主要污染物年排放量不足一公斤的，该项污染物暂不确权。</w:t>
      </w:r>
    </w:p>
    <w:p>
      <w:pPr>
        <w:widowControl w:val="0"/>
        <w:numPr>
          <w:ilvl w:val="0"/>
          <w:numId w:val="0"/>
        </w:numPr>
        <w:wordWrap/>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暂缓确权的，按要求完成整改或缴纳出让金后，适时予以确权。</w:t>
      </w:r>
    </w:p>
    <w:p>
      <w:pPr>
        <w:widowControl w:val="0"/>
        <w:wordWrap/>
        <w:adjustRightInd/>
        <w:snapToGrid/>
        <w:spacing w:line="360" w:lineRule="auto"/>
        <w:jc w:val="center"/>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第四章  确权管理</w:t>
      </w:r>
    </w:p>
    <w:p>
      <w:pPr>
        <w:pStyle w:val="3"/>
        <w:widowControl w:val="0"/>
        <w:wordWrap/>
        <w:adjustRightInd/>
        <w:snapToGrid/>
        <w:spacing w:line="360" w:lineRule="auto"/>
        <w:textAlignment w:val="auto"/>
        <w:rPr>
          <w:rFonts w:hint="eastAsia"/>
          <w:lang w:val="en-US" w:eastAsia="zh-CN"/>
        </w:rPr>
      </w:pPr>
    </w:p>
    <w:p>
      <w:pPr>
        <w:widowControl w:val="0"/>
        <w:numPr>
          <w:ilvl w:val="0"/>
          <w:numId w:val="0"/>
        </w:numPr>
        <w:wordWrap/>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kern w:val="2"/>
          <w:sz w:val="32"/>
          <w:szCs w:val="32"/>
          <w:lang w:val="en-US" w:eastAsia="zh-CN" w:bidi="ar-SA"/>
        </w:rPr>
        <w:t xml:space="preserve">第十七条【建立台账】  </w:t>
      </w:r>
      <w:r>
        <w:rPr>
          <w:rFonts w:hint="eastAsia" w:ascii="仿宋_GB2312" w:hAnsi="仿宋_GB2312" w:eastAsia="仿宋_GB2312" w:cs="仿宋_GB2312"/>
          <w:sz w:val="32"/>
          <w:szCs w:val="32"/>
          <w:lang w:val="en-US" w:eastAsia="zh-CN"/>
        </w:rPr>
        <w:t>省、市生态环境部门排污权交易管理机构负责建立排污权确权台账，并动态更新。</w:t>
      </w:r>
    </w:p>
    <w:p>
      <w:pPr>
        <w:pStyle w:val="3"/>
        <w:widowControl w:val="0"/>
        <w:wordWrap/>
        <w:adjustRightInd/>
        <w:snapToGrid/>
        <w:spacing w:line="580" w:lineRule="exact"/>
        <w:ind w:left="0" w:leftChars="0" w:firstLine="643" w:firstLineChars="200"/>
        <w:textAlignment w:val="auto"/>
        <w:rPr>
          <w:rFonts w:hint="eastAsia"/>
          <w:lang w:val="en-US" w:eastAsia="zh-CN"/>
        </w:rPr>
      </w:pPr>
      <w:r>
        <w:rPr>
          <w:rFonts w:hint="eastAsia" w:ascii="黑体" w:hAnsi="黑体" w:eastAsia="黑体" w:cs="黑体"/>
          <w:b/>
          <w:kern w:val="2"/>
          <w:sz w:val="32"/>
          <w:szCs w:val="32"/>
          <w:lang w:val="en-US" w:eastAsia="zh-CN" w:bidi="ar-SA"/>
        </w:rPr>
        <w:t xml:space="preserve">第十八条【排污权载明】  </w:t>
      </w:r>
      <w:r>
        <w:rPr>
          <w:rFonts w:hint="eastAsia" w:ascii="仿宋_GB2312" w:hAnsi="仿宋_GB2312" w:eastAsia="仿宋_GB2312" w:cs="仿宋_GB2312"/>
          <w:sz w:val="32"/>
          <w:szCs w:val="32"/>
          <w:lang w:val="en-US" w:eastAsia="zh-CN"/>
        </w:rPr>
        <w:t>排污许可证核发部门应将排污权确权情况在排污许可证的“排污权使用和交易信息”中进行记录，载明确权量、确权时间、期限、交易量、交易时间，以及排污权变更等信息。</w:t>
      </w:r>
    </w:p>
    <w:p>
      <w:pPr>
        <w:pStyle w:val="3"/>
        <w:widowControl w:val="0"/>
        <w:wordWrap/>
        <w:adjustRightInd/>
        <w:snapToGrid/>
        <w:spacing w:line="58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kern w:val="2"/>
          <w:sz w:val="32"/>
          <w:szCs w:val="32"/>
          <w:lang w:val="en-US" w:eastAsia="zh-CN" w:bidi="ar-SA"/>
        </w:rPr>
        <w:t xml:space="preserve">第十九条【变更管理】  </w:t>
      </w:r>
      <w:r>
        <w:rPr>
          <w:rFonts w:hint="eastAsia" w:ascii="仿宋_GB2312" w:hAnsi="仿宋_GB2312" w:eastAsia="仿宋_GB2312" w:cs="仿宋_GB2312"/>
          <w:sz w:val="32"/>
          <w:szCs w:val="32"/>
          <w:lang w:val="en-US" w:eastAsia="zh-CN"/>
        </w:rPr>
        <w:t>排污权确权后，排污单位应向排污许可证核发部门报告确权情况。</w:t>
      </w:r>
    </w:p>
    <w:p>
      <w:pPr>
        <w:pStyle w:val="3"/>
        <w:widowControl w:val="0"/>
        <w:wordWrap/>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排污权发生变更的，排污单位应向各级生态环境部门排污权交易管理机构和排污许可证核发部门报告变更情况。</w:t>
      </w:r>
    </w:p>
    <w:p>
      <w:pPr>
        <w:pStyle w:val="3"/>
        <w:widowControl w:val="0"/>
        <w:wordWrap/>
        <w:adjustRightInd/>
        <w:snapToGrid/>
        <w:spacing w:line="58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kern w:val="2"/>
          <w:sz w:val="32"/>
          <w:szCs w:val="32"/>
          <w:lang w:val="en-US" w:eastAsia="zh-CN" w:bidi="ar-SA"/>
        </w:rPr>
        <w:t xml:space="preserve">第二十条【确权使用】  </w:t>
      </w:r>
      <w:r>
        <w:rPr>
          <w:rFonts w:hint="eastAsia" w:ascii="仿宋_GB2312" w:hAnsi="仿宋_GB2312" w:eastAsia="仿宋_GB2312" w:cs="仿宋_GB2312"/>
          <w:color w:val="auto"/>
          <w:sz w:val="32"/>
          <w:szCs w:val="32"/>
          <w:lang w:val="en-US" w:eastAsia="zh-CN"/>
        </w:rPr>
        <w:t>排污权确权结果作为建设项目新增排污权替代指标来源，以及排污单位开展污染物减排、排污权交易依据。</w:t>
      </w:r>
    </w:p>
    <w:p>
      <w:pPr>
        <w:widowControl w:val="0"/>
        <w:wordWrap/>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kern w:val="2"/>
          <w:sz w:val="32"/>
          <w:szCs w:val="32"/>
          <w:lang w:val="en-US" w:eastAsia="zh-CN" w:bidi="ar-SA"/>
        </w:rPr>
        <w:t xml:space="preserve">第二十一条【执法监管】  </w:t>
      </w:r>
      <w:r>
        <w:rPr>
          <w:rFonts w:hint="eastAsia" w:ascii="仿宋_GB2312" w:hAnsi="仿宋_GB2312" w:eastAsia="仿宋_GB2312" w:cs="仿宋_GB2312"/>
          <w:sz w:val="32"/>
          <w:szCs w:val="32"/>
          <w:lang w:val="en-US" w:eastAsia="zh-CN"/>
        </w:rPr>
        <w:t>生态环境部门要加强排污权使用的</w:t>
      </w:r>
      <w:r>
        <w:rPr>
          <w:rFonts w:hint="eastAsia" w:ascii="仿宋_GB2312" w:hAnsi="仿宋_GB2312" w:eastAsia="仿宋_GB2312" w:cs="仿宋_GB2312"/>
          <w:sz w:val="32"/>
          <w:szCs w:val="32"/>
          <w:lang w:eastAsia="zh-CN"/>
        </w:rPr>
        <w:t>生态环境执法，</w:t>
      </w:r>
      <w:r>
        <w:rPr>
          <w:rFonts w:hint="eastAsia" w:ascii="仿宋_GB2312" w:hAnsi="仿宋_GB2312" w:eastAsia="仿宋_GB2312" w:cs="仿宋_GB2312"/>
          <w:sz w:val="32"/>
          <w:szCs w:val="32"/>
          <w:lang w:val="en-US" w:eastAsia="zh-CN"/>
        </w:rPr>
        <w:t>及时查处违法违规行为。</w:t>
      </w:r>
    </w:p>
    <w:p>
      <w:pPr>
        <w:widowControl w:val="0"/>
        <w:numPr>
          <w:ilvl w:val="0"/>
          <w:numId w:val="0"/>
        </w:numPr>
        <w:tabs>
          <w:tab w:val="left" w:pos="0"/>
        </w:tabs>
        <w:wordWrap/>
        <w:adjustRightInd/>
        <w:snapToGrid/>
        <w:spacing w:line="360" w:lineRule="auto"/>
        <w:jc w:val="center"/>
        <w:textAlignment w:val="auto"/>
        <w:rPr>
          <w:rFonts w:hint="eastAsia" w:ascii="仿宋_GB2312" w:hAnsi="仿宋_GB2312" w:eastAsia="仿宋_GB2312" w:cs="仿宋_GB2312"/>
          <w:sz w:val="32"/>
          <w:szCs w:val="32"/>
        </w:rPr>
      </w:pPr>
    </w:p>
    <w:p>
      <w:pPr>
        <w:widowControl w:val="0"/>
        <w:wordWrap/>
        <w:adjustRightInd/>
        <w:snapToGri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五</w:t>
      </w:r>
      <w:r>
        <w:rPr>
          <w:rFonts w:hint="eastAsia" w:ascii="黑体" w:hAnsi="黑体" w:eastAsia="黑体" w:cs="黑体"/>
          <w:b/>
          <w:bCs/>
          <w:sz w:val="32"/>
          <w:szCs w:val="32"/>
          <w:lang w:eastAsia="zh-CN"/>
        </w:rPr>
        <w:t xml:space="preserve">章  </w:t>
      </w:r>
      <w:r>
        <w:rPr>
          <w:rFonts w:hint="eastAsia" w:ascii="黑体" w:hAnsi="黑体" w:eastAsia="黑体" w:cs="黑体"/>
          <w:b/>
          <w:bCs/>
          <w:sz w:val="32"/>
          <w:szCs w:val="32"/>
          <w:lang w:val="en-US" w:eastAsia="zh-CN"/>
        </w:rPr>
        <w:t>附则</w:t>
      </w:r>
    </w:p>
    <w:p>
      <w:pPr>
        <w:widowControl w:val="0"/>
        <w:wordWrap/>
        <w:adjustRightInd/>
        <w:snapToGrid/>
        <w:spacing w:line="360" w:lineRule="auto"/>
        <w:jc w:val="center"/>
        <w:textAlignment w:val="auto"/>
        <w:rPr>
          <w:rFonts w:hint="eastAsia" w:ascii="黑体" w:hAnsi="黑体" w:eastAsia="黑体" w:cs="黑体"/>
          <w:b/>
          <w:bCs/>
          <w:sz w:val="32"/>
          <w:szCs w:val="32"/>
          <w:lang w:val="en-US" w:eastAsia="zh-CN"/>
        </w:rPr>
      </w:pPr>
    </w:p>
    <w:p>
      <w:pPr>
        <w:widowControl/>
        <w:wordWrap/>
        <w:adjustRightInd/>
        <w:snapToGrid/>
        <w:spacing w:line="580"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bCs/>
          <w:kern w:val="2"/>
          <w:sz w:val="32"/>
          <w:szCs w:val="32"/>
          <w:lang w:val="en-US" w:eastAsia="zh-CN" w:bidi="ar-SA"/>
        </w:rPr>
        <w:t xml:space="preserve">第二十二条【解释部门】  </w:t>
      </w: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val="en-US" w:eastAsia="zh-CN"/>
        </w:rPr>
        <w:t>办法</w:t>
      </w:r>
      <w:r>
        <w:rPr>
          <w:rFonts w:hint="eastAsia" w:ascii="仿宋_GB2312" w:hAnsi="仿宋_GB2312" w:eastAsia="仿宋_GB2312" w:cs="仿宋_GB2312"/>
          <w:color w:val="000000"/>
          <w:kern w:val="0"/>
          <w:sz w:val="32"/>
          <w:szCs w:val="32"/>
        </w:rPr>
        <w:t>由省</w:t>
      </w:r>
      <w:r>
        <w:rPr>
          <w:rFonts w:hint="eastAsia" w:ascii="仿宋_GB2312" w:hAnsi="仿宋_GB2312" w:eastAsia="仿宋_GB2312" w:cs="仿宋_GB2312"/>
          <w:color w:val="000000"/>
          <w:kern w:val="0"/>
          <w:sz w:val="32"/>
          <w:szCs w:val="32"/>
          <w:lang w:eastAsia="zh-CN"/>
        </w:rPr>
        <w:t>生态环境厅</w:t>
      </w:r>
      <w:r>
        <w:rPr>
          <w:rFonts w:hint="eastAsia" w:ascii="仿宋_GB2312" w:hAnsi="仿宋_GB2312" w:eastAsia="仿宋_GB2312" w:cs="仿宋_GB2312"/>
          <w:color w:val="000000"/>
          <w:kern w:val="0"/>
          <w:sz w:val="32"/>
          <w:szCs w:val="32"/>
        </w:rPr>
        <w:t>负责解释。</w:t>
      </w:r>
    </w:p>
    <w:p>
      <w:pPr>
        <w:widowControl/>
        <w:wordWrap/>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kern w:val="2"/>
          <w:sz w:val="32"/>
          <w:szCs w:val="32"/>
          <w:lang w:val="en-US" w:eastAsia="zh-CN" w:bidi="ar-SA"/>
        </w:rPr>
        <w:t xml:space="preserve">第二十三条【实施时间】  </w:t>
      </w: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val="en-US" w:eastAsia="zh-CN"/>
        </w:rPr>
        <w:t>办法</w:t>
      </w:r>
      <w:r>
        <w:rPr>
          <w:rFonts w:hint="eastAsia" w:ascii="仿宋_GB2312" w:hAnsi="仿宋_GB2312" w:eastAsia="仿宋_GB2312" w:cs="仿宋_GB2312"/>
          <w:color w:val="000000"/>
          <w:kern w:val="0"/>
          <w:sz w:val="32"/>
          <w:szCs w:val="32"/>
        </w:rPr>
        <w:t>自</w:t>
      </w:r>
      <w:r>
        <w:rPr>
          <w:rFonts w:hint="eastAsia" w:ascii="仿宋_GB2312" w:hAnsi="仿宋_GB2312" w:eastAsia="仿宋_GB2312" w:cs="仿宋_GB2312"/>
          <w:color w:val="000000"/>
          <w:kern w:val="0"/>
          <w:sz w:val="32"/>
          <w:szCs w:val="32"/>
          <w:lang w:val="en-US" w:eastAsia="zh-CN"/>
        </w:rPr>
        <w:t>发布之日</w:t>
      </w:r>
      <w:r>
        <w:rPr>
          <w:rFonts w:hint="eastAsia" w:ascii="仿宋_GB2312" w:hAnsi="仿宋_GB2312" w:eastAsia="仿宋_GB2312" w:cs="仿宋_GB2312"/>
          <w:color w:val="000000"/>
          <w:kern w:val="0"/>
          <w:sz w:val="32"/>
          <w:szCs w:val="32"/>
        </w:rPr>
        <w:t>起实施。</w:t>
      </w:r>
    </w:p>
    <w:p>
      <w:pPr>
        <w:wordWrap/>
        <w:adjustRightInd/>
        <w:snapToGrid/>
        <w:spacing w:line="580" w:lineRule="exact"/>
        <w:textAlignment w:val="auto"/>
        <w:rPr>
          <w:rFonts w:hint="eastAsia" w:ascii="仿宋_GB2312" w:hAnsi="仿宋_GB2312" w:eastAsia="仿宋_GB2312" w:cs="仿宋_GB2312"/>
          <w:kern w:val="2"/>
          <w:sz w:val="32"/>
          <w:szCs w:val="32"/>
          <w:lang w:val="en-US" w:eastAsia="zh-CN"/>
        </w:rPr>
      </w:pPr>
    </w:p>
    <w:p>
      <w:pPr>
        <w:pStyle w:val="3"/>
        <w:wordWrap/>
        <w:adjustRightInd/>
        <w:snapToGrid/>
        <w:spacing w:line="580" w:lineRule="exact"/>
        <w:textAlignment w:val="auto"/>
        <w:rPr>
          <w:rFonts w:hint="eastAsia" w:ascii="仿宋_GB2312" w:hAnsi="仿宋_GB2312" w:eastAsia="仿宋_GB2312" w:cs="仿宋_GB2312"/>
          <w:kern w:val="2"/>
          <w:sz w:val="32"/>
          <w:szCs w:val="32"/>
          <w:lang w:val="en-US" w:eastAsia="zh-CN"/>
        </w:rPr>
      </w:pPr>
    </w:p>
    <w:p>
      <w:pPr>
        <w:widowControl w:val="0"/>
        <w:wordWrap/>
        <w:adjustRightInd/>
        <w:snapToGrid/>
        <w:spacing w:line="580" w:lineRule="exact"/>
        <w:ind w:firstLine="643" w:firstLineChars="200"/>
        <w:jc w:val="both"/>
        <w:textAlignment w:val="auto"/>
        <w:rPr>
          <w:rFonts w:hint="eastAsia" w:ascii="仿宋_GB2312" w:hAnsi="仿宋_GB2312" w:eastAsia="仿宋_GB2312" w:cs="仿宋_GB2312"/>
          <w:b/>
          <w:bCs/>
          <w:spacing w:val="0"/>
          <w:sz w:val="32"/>
          <w:szCs w:val="32"/>
          <w:lang w:val="en-US" w:eastAsia="zh-CN"/>
        </w:rPr>
      </w:pPr>
    </w:p>
    <w:p/>
    <w:sectPr>
      <w:footerReference r:id="rId3" w:type="default"/>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6B22D"/>
    <w:multiLevelType w:val="singleLevel"/>
    <w:tmpl w:val="F216B2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6D52470"/>
    <w:rsid w:val="00893A22"/>
    <w:rsid w:val="066C2E4D"/>
    <w:rsid w:val="079342FA"/>
    <w:rsid w:val="1AD554F4"/>
    <w:rsid w:val="2C011E32"/>
    <w:rsid w:val="2D9C16EC"/>
    <w:rsid w:val="2F830963"/>
    <w:rsid w:val="38602723"/>
    <w:rsid w:val="3FDF182B"/>
    <w:rsid w:val="46995A00"/>
    <w:rsid w:val="46D52470"/>
    <w:rsid w:val="4E9962FF"/>
    <w:rsid w:val="5DC872C5"/>
    <w:rsid w:val="62852E5D"/>
    <w:rsid w:val="6DCF3C24"/>
    <w:rsid w:val="6F377216"/>
    <w:rsid w:val="75647ECC"/>
    <w:rsid w:val="7C9F63FA"/>
    <w:rsid w:val="7D317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pPr>
  </w:style>
  <w:style w:type="paragraph" w:customStyle="1" w:styleId="4">
    <w:name w:val="Char Char Char Char Char Char Char Char Char1 Char"/>
    <w:basedOn w:val="1"/>
    <w:next w:val="5"/>
    <w:qFormat/>
    <w:uiPriority w:val="0"/>
    <w:pPr>
      <w:spacing w:line="360" w:lineRule="auto"/>
      <w:ind w:firstLine="200"/>
      <w:jc w:val="both"/>
    </w:pPr>
    <w:rPr>
      <w:rFonts w:ascii="宋体" w:eastAsia="宋体"/>
    </w:rPr>
  </w:style>
  <w:style w:type="paragraph" w:customStyle="1" w:styleId="5">
    <w:name w:val="Body Text First Indent1"/>
    <w:next w:val="1"/>
    <w:qFormat/>
    <w:uiPriority w:val="0"/>
    <w:pPr>
      <w:widowControl w:val="0"/>
      <w:spacing w:after="120"/>
      <w:ind w:firstLine="420"/>
      <w:jc w:val="both"/>
    </w:pPr>
    <w:rPr>
      <w:rFonts w:ascii="Times New Roman" w:hAnsi="Times New Roman" w:eastAsia="宋体" w:cs="Times New Roman"/>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2021-11-08T07:03:00Z</dcterms:created>
  <dc:creator>刘增强</dc:creator>
  <cp:lastModifiedBy>刘增强</cp:lastModifiedBy>
  <cp:lastPrinted>2021-11-08T07:12:00Z</cp:lastPrinted>
  <dcterms:modified xsi:type="dcterms:W3CDTF">2021-11-11T13:36:16Z</dcterms:modified>
  <dc:title>河北省生态环境厅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396B7CDF44EC4D3C88E37B13951C6F00</vt:lpwstr>
  </property>
</Properties>
</file>